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宋体" w:hAnsi="宋体" w:eastAsia="宋体" w:cs="宋体"/>
          <w:b/>
          <w:bCs/>
          <w:color w:val="000000"/>
          <w:sz w:val="44"/>
          <w:szCs w:val="44"/>
          <w:lang w:eastAsia="zh-CN"/>
        </w:rPr>
      </w:pP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eastAsia="zh-CN"/>
        </w:rPr>
        <w:t>教务科财经商贸专业组中文速录机采购项目</w:t>
      </w:r>
    </w:p>
    <w:p>
      <w:pPr>
        <w:jc w:val="center"/>
        <w:rPr>
          <w:rFonts w:hint="eastAsia" w:ascii="方正大黑简体" w:eastAsia="方正大黑简体"/>
          <w:sz w:val="72"/>
          <w:szCs w:val="72"/>
        </w:rPr>
      </w:pP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2024009</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5"/>
        <w:ind w:firstLine="683"/>
        <w:rPr>
          <w:rFonts w:hint="eastAsia" w:ascii="宋体"/>
          <w:b/>
          <w:sz w:val="34"/>
        </w:rPr>
      </w:pPr>
    </w:p>
    <w:p>
      <w:pPr>
        <w:pStyle w:val="15"/>
        <w:ind w:firstLine="683"/>
        <w:rPr>
          <w:rFonts w:hint="eastAsia" w:ascii="宋体"/>
          <w:b/>
          <w:sz w:val="34"/>
        </w:rPr>
      </w:pPr>
    </w:p>
    <w:p>
      <w:pPr>
        <w:pStyle w:val="15"/>
        <w:ind w:left="0" w:leftChars="0" w:firstLine="0" w:firstLineChars="0"/>
        <w:rPr>
          <w:rFonts w:hint="eastAsia" w:ascii="Arial" w:hAnsi="Arial" w:eastAsia="隶书"/>
          <w:sz w:val="52"/>
        </w:rPr>
      </w:pPr>
    </w:p>
    <w:p>
      <w:pPr>
        <w:pStyle w:val="15"/>
        <w:ind w:left="0" w:leftChars="0" w:firstLine="0" w:firstLineChars="0"/>
        <w:rPr>
          <w:rFonts w:hint="eastAsia" w:ascii="Arial" w:hAnsi="Arial" w:eastAsia="隶书"/>
          <w:sz w:val="52"/>
        </w:rPr>
      </w:pPr>
    </w:p>
    <w:p>
      <w:pPr>
        <w:pStyle w:val="15"/>
        <w:ind w:firstLine="1040"/>
        <w:rPr>
          <w:rFonts w:hint="eastAsia" w:ascii="Arial" w:hAnsi="Arial" w:eastAsia="隶书"/>
          <w:sz w:val="52"/>
        </w:rPr>
      </w:pPr>
    </w:p>
    <w:p>
      <w:pPr>
        <w:ind w:firstLine="1928" w:firstLineChars="600"/>
        <w:jc w:val="left"/>
        <w:rPr>
          <w:rFonts w:hint="eastAsia" w:ascii="Arial" w:hAnsi="Arial" w:eastAsia="宋体" w:cs="Arial"/>
          <w:b/>
          <w:sz w:val="36"/>
          <w:lang w:val="en-US" w:eastAsia="zh-CN"/>
        </w:rPr>
      </w:pPr>
      <w:r>
        <w:rPr>
          <w:rFonts w:hint="eastAsia" w:ascii="宋体"/>
          <w:b/>
          <w:sz w:val="32"/>
          <w:szCs w:val="32"/>
          <w:lang w:val="en-US" w:eastAsia="zh-CN"/>
        </w:rPr>
        <w:t>需</w:t>
      </w:r>
      <w:r>
        <w:rPr>
          <w:rFonts w:hint="eastAsia" w:ascii="宋体"/>
          <w:b/>
          <w:sz w:val="32"/>
          <w:szCs w:val="32"/>
        </w:rPr>
        <w:t xml:space="preserve"> </w:t>
      </w:r>
      <w:r>
        <w:rPr>
          <w:rFonts w:hint="eastAsia" w:ascii="宋体"/>
          <w:b/>
          <w:sz w:val="32"/>
          <w:szCs w:val="32"/>
          <w:lang w:val="en-US" w:eastAsia="zh-CN"/>
        </w:rPr>
        <w:t>求</w:t>
      </w:r>
      <w:r>
        <w:rPr>
          <w:rFonts w:hint="eastAsia" w:ascii="宋体"/>
          <w:b/>
          <w:sz w:val="32"/>
          <w:szCs w:val="32"/>
        </w:rPr>
        <w:t xml:space="preserve"> </w:t>
      </w:r>
      <w:r>
        <w:rPr>
          <w:rFonts w:hint="eastAsia" w:ascii="宋体"/>
          <w:b/>
          <w:sz w:val="32"/>
          <w:szCs w:val="32"/>
          <w:lang w:eastAsia="zh-CN"/>
        </w:rPr>
        <w:t>科</w:t>
      </w:r>
      <w:r>
        <w:rPr>
          <w:rFonts w:hint="eastAsia" w:ascii="宋体"/>
          <w:b/>
          <w:sz w:val="32"/>
          <w:szCs w:val="32"/>
          <w:lang w:val="en-US" w:eastAsia="zh-CN"/>
        </w:rPr>
        <w:t xml:space="preserve"> </w:t>
      </w:r>
      <w:r>
        <w:rPr>
          <w:rFonts w:hint="eastAsia" w:ascii="宋体"/>
          <w:b/>
          <w:sz w:val="32"/>
          <w:szCs w:val="32"/>
          <w:lang w:eastAsia="zh-CN"/>
        </w:rPr>
        <w:t>室</w:t>
      </w:r>
      <w:r>
        <w:rPr>
          <w:rFonts w:hint="eastAsia" w:ascii="宋体"/>
          <w:b/>
          <w:sz w:val="32"/>
          <w:szCs w:val="32"/>
        </w:rPr>
        <w:t>：</w:t>
      </w:r>
      <w:r>
        <w:rPr>
          <w:rFonts w:hint="eastAsia" w:ascii="宋体"/>
          <w:bCs/>
          <w:sz w:val="32"/>
          <w:szCs w:val="32"/>
          <w:u w:val="single"/>
          <w:lang w:eastAsia="zh-CN"/>
        </w:rPr>
        <w:t>阜阳工业经济学校</w:t>
      </w:r>
      <w:r>
        <w:rPr>
          <w:rFonts w:hint="eastAsia" w:ascii="宋体"/>
          <w:bCs/>
          <w:sz w:val="32"/>
          <w:szCs w:val="32"/>
          <w:u w:val="single"/>
          <w:lang w:val="en-US" w:eastAsia="zh-CN"/>
        </w:rPr>
        <w:t>教务科</w:t>
      </w:r>
    </w:p>
    <w:p>
      <w:pPr>
        <w:spacing w:line="440" w:lineRule="exact"/>
        <w:ind w:right="42" w:rightChars="20"/>
        <w:rPr>
          <w:rFonts w:hint="eastAsia" w:ascii="Arial" w:hAnsi="Arial" w:eastAsia="黑体" w:cs="Arial"/>
          <w:b/>
          <w:sz w:val="36"/>
        </w:rPr>
      </w:pPr>
    </w:p>
    <w:p>
      <w:pPr>
        <w:spacing w:line="440" w:lineRule="exact"/>
        <w:ind w:right="42" w:rightChars="20" w:firstLine="4176" w:firstLineChars="1300"/>
        <w:jc w:val="both"/>
        <w:rPr>
          <w:rFonts w:hint="eastAsia" w:ascii="宋体"/>
          <w:b/>
          <w:sz w:val="32"/>
          <w:szCs w:val="32"/>
        </w:rPr>
      </w:pPr>
      <w:r>
        <w:rPr>
          <w:rFonts w:hint="eastAsia" w:ascii="宋体"/>
          <w:b/>
          <w:sz w:val="32"/>
          <w:szCs w:val="32"/>
        </w:rPr>
        <w:t>20</w:t>
      </w:r>
      <w:r>
        <w:rPr>
          <w:rFonts w:hint="eastAsia" w:ascii="宋体"/>
          <w:b/>
          <w:sz w:val="32"/>
          <w:szCs w:val="32"/>
          <w:lang w:val="en-US" w:eastAsia="zh-CN"/>
        </w:rPr>
        <w:t>24</w:t>
      </w:r>
      <w:r>
        <w:rPr>
          <w:rFonts w:hint="eastAsia" w:ascii="宋体"/>
          <w:b/>
          <w:sz w:val="32"/>
          <w:szCs w:val="32"/>
        </w:rPr>
        <w:t>年</w:t>
      </w:r>
      <w:r>
        <w:rPr>
          <w:rFonts w:hint="eastAsia" w:ascii="宋体"/>
          <w:b/>
          <w:sz w:val="32"/>
          <w:szCs w:val="32"/>
          <w:lang w:val="en-US" w:eastAsia="zh-CN"/>
        </w:rPr>
        <w:t>3</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both"/>
        <w:rPr>
          <w:rFonts w:hint="eastAsia" w:ascii="方正宋黑简体" w:hAnsi="Arial" w:eastAsia="方正宋黑简体" w:cs="Arial"/>
          <w:b/>
          <w:sz w:val="44"/>
          <w:szCs w:val="44"/>
        </w:rPr>
      </w:pPr>
    </w:p>
    <w:p>
      <w:pPr>
        <w:pStyle w:val="8"/>
        <w:rPr>
          <w:rFonts w:hint="eastAsia" w:ascii="方正宋黑简体" w:hAnsi="Arial" w:eastAsia="方正宋黑简体" w:cs="Arial"/>
          <w:b/>
          <w:sz w:val="44"/>
          <w:szCs w:val="44"/>
        </w:rPr>
      </w:pPr>
    </w:p>
    <w:p>
      <w:pPr>
        <w:pStyle w:val="8"/>
        <w:rPr>
          <w:rFonts w:hint="eastAsia"/>
        </w:rPr>
      </w:pP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6</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20</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二、报价函格式</w:t>
      </w:r>
      <w:r>
        <w:rPr>
          <w:rFonts w:hint="eastAsia" w:ascii="仿宋" w:hAnsi="仿宋" w:eastAsia="仿宋"/>
          <w:sz w:val="32"/>
          <w:szCs w:val="32"/>
        </w:rPr>
        <w:t>………………………………………………2</w:t>
      </w:r>
      <w:r>
        <w:rPr>
          <w:rFonts w:hint="eastAsia" w:ascii="仿宋" w:hAnsi="仿宋" w:eastAsia="仿宋"/>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四、货物报价明细表</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3</w:t>
      </w:r>
    </w:p>
    <w:p>
      <w:pPr>
        <w:spacing w:line="700" w:lineRule="exact"/>
        <w:ind w:right="42" w:rightChars="20" w:firstLine="640" w:firstLineChars="200"/>
        <w:rPr>
          <w:rFonts w:hint="eastAsia" w:ascii="宋体" w:hAnsi="宋体" w:cs="Arial"/>
          <w:sz w:val="32"/>
          <w:szCs w:val="32"/>
          <w:lang w:val="en-US" w:eastAsia="zh-CN"/>
        </w:rPr>
      </w:pPr>
      <w:r>
        <w:rPr>
          <w:rFonts w:hint="eastAsia" w:ascii="宋体" w:hAnsi="宋体" w:cs="Arial"/>
          <w:sz w:val="32"/>
          <w:szCs w:val="32"/>
        </w:rPr>
        <w:t>五、响应表…………………</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4</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val="en-US" w:eastAsia="zh-CN"/>
        </w:rPr>
        <w:t>六</w:t>
      </w:r>
      <w:r>
        <w:rPr>
          <w:rFonts w:hint="eastAsia" w:ascii="宋体" w:hAnsi="宋体" w:cs="Arial"/>
          <w:sz w:val="32"/>
          <w:szCs w:val="32"/>
        </w:rPr>
        <w:t>、资格证明等材料…………………………………………2</w:t>
      </w:r>
      <w:r>
        <w:rPr>
          <w:rFonts w:hint="eastAsia" w:ascii="宋体" w:hAnsi="宋体" w:cs="Arial"/>
          <w:sz w:val="32"/>
          <w:szCs w:val="32"/>
          <w:lang w:val="en-US" w:eastAsia="zh-CN"/>
        </w:rPr>
        <w:t>7</w:t>
      </w:r>
    </w:p>
    <w:p>
      <w:pPr>
        <w:spacing w:line="700" w:lineRule="exact"/>
        <w:ind w:right="42" w:rightChars="20" w:firstLine="640" w:firstLineChars="200"/>
        <w:rPr>
          <w:rFonts w:hint="eastAsia" w:ascii="宋体" w:hAnsi="宋体" w:cs="Arial"/>
          <w:b/>
          <w:sz w:val="36"/>
        </w:rPr>
      </w:pPr>
      <w:r>
        <w:rPr>
          <w:rFonts w:hint="eastAsia" w:ascii="宋体" w:hAnsi="宋体" w:cs="Arial"/>
          <w:sz w:val="32"/>
          <w:szCs w:val="32"/>
          <w:lang w:val="en-US" w:eastAsia="zh-CN"/>
        </w:rPr>
        <w:t>七</w:t>
      </w:r>
      <w:r>
        <w:rPr>
          <w:rFonts w:hint="eastAsia" w:ascii="宋体" w:hAnsi="宋体" w:cs="Arial"/>
          <w:sz w:val="32"/>
          <w:szCs w:val="32"/>
        </w:rPr>
        <w:t>、供应商认为需要补充的其他内容………………………2</w:t>
      </w:r>
      <w:r>
        <w:rPr>
          <w:rFonts w:hint="eastAsia" w:ascii="宋体" w:hAnsi="宋体" w:cs="Arial"/>
          <w:sz w:val="32"/>
          <w:szCs w:val="32"/>
          <w:lang w:val="en-US" w:eastAsia="zh-CN"/>
        </w:rPr>
        <w:t>8</w:t>
      </w: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因工作</w:t>
      </w:r>
      <w:r>
        <w:rPr>
          <w:rFonts w:hint="eastAsia" w:ascii="宋体" w:hAnsi="宋体" w:eastAsia="宋体" w:cs="宋体"/>
          <w:color w:val="000000"/>
          <w:spacing w:val="0"/>
          <w:kern w:val="0"/>
          <w:sz w:val="28"/>
          <w:szCs w:val="28"/>
          <w:lang w:val="en-US" w:eastAsia="zh-CN" w:bidi="ar-SA"/>
        </w:rPr>
        <w:t>需要，现对教务科财经商贸专业组中文速录机采购项目进行询价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w:t>
      </w:r>
      <w:r>
        <w:rPr>
          <w:rFonts w:hint="eastAsia" w:cs="宋体"/>
          <w:color w:val="000000"/>
          <w:sz w:val="28"/>
          <w:szCs w:val="28"/>
          <w:lang w:val="en-US" w:eastAsia="zh-CN"/>
        </w:rPr>
        <w:t>4009</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2、项目名称：</w:t>
      </w:r>
      <w:r>
        <w:rPr>
          <w:rFonts w:hint="eastAsia" w:ascii="宋体" w:hAnsi="宋体" w:eastAsia="宋体" w:cs="宋体"/>
          <w:color w:val="000000"/>
          <w:sz w:val="28"/>
          <w:szCs w:val="28"/>
          <w:lang w:val="en-US" w:eastAsia="zh-CN"/>
        </w:rPr>
        <w:t>教务科财经商贸专业组中文速录机采购项目</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cs="宋体"/>
          <w:i w:val="0"/>
          <w:caps w:val="0"/>
          <w:color w:val="000000"/>
          <w:spacing w:val="0"/>
          <w:sz w:val="28"/>
          <w:szCs w:val="28"/>
          <w:shd w:val="clear" w:color="auto" w:fill="FFFFFF"/>
          <w:lang w:val="en-US" w:eastAsia="zh-CN"/>
        </w:rPr>
        <w:t>3</w:t>
      </w:r>
      <w:r>
        <w:rPr>
          <w:rFonts w:hint="eastAsia" w:eastAsia="宋体" w:cs="宋体"/>
          <w:i w:val="0"/>
          <w:caps w:val="0"/>
          <w:color w:val="000000"/>
          <w:spacing w:val="0"/>
          <w:sz w:val="28"/>
          <w:szCs w:val="28"/>
          <w:shd w:val="clear" w:color="auto" w:fill="FFFFFF"/>
          <w:lang w:val="en-US" w:eastAsia="zh-CN"/>
        </w:rPr>
        <w:t>、</w:t>
      </w:r>
      <w:r>
        <w:rPr>
          <w:rFonts w:hint="eastAsia" w:ascii="宋体" w:hAnsi="宋体" w:eastAsia="宋体" w:cs="宋体"/>
          <w:color w:val="000000"/>
          <w:sz w:val="28"/>
          <w:szCs w:val="28"/>
        </w:rPr>
        <w:t>资金来源： 财政资金</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cs="宋体"/>
          <w:color w:val="000000"/>
          <w:sz w:val="28"/>
          <w:szCs w:val="28"/>
          <w:lang w:val="en-US" w:eastAsia="zh-CN"/>
        </w:rPr>
        <w:t>4</w:t>
      </w:r>
      <w:r>
        <w:rPr>
          <w:rFonts w:hint="eastAsia" w:ascii="宋体" w:hAnsi="宋体" w:eastAsia="宋体" w:cs="宋体"/>
          <w:color w:val="000000"/>
          <w:sz w:val="28"/>
          <w:szCs w:val="28"/>
        </w:rPr>
        <w:t>、项目预算：</w:t>
      </w:r>
      <w:r>
        <w:rPr>
          <w:rFonts w:hint="eastAsia" w:cs="宋体"/>
          <w:color w:val="000000"/>
          <w:sz w:val="28"/>
          <w:szCs w:val="28"/>
          <w:lang w:val="en-US" w:eastAsia="zh-CN"/>
        </w:rPr>
        <w:t>30000</w:t>
      </w:r>
      <w:r>
        <w:rPr>
          <w:rFonts w:hint="eastAsia" w:eastAsia="宋体" w:cs="宋体"/>
          <w:color w:val="000000"/>
          <w:sz w:val="28"/>
          <w:szCs w:val="28"/>
          <w:lang w:val="en-US" w:eastAsia="zh-CN"/>
        </w:rPr>
        <w:t>.00元</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最高限价</w:t>
      </w:r>
      <w:r>
        <w:rPr>
          <w:rFonts w:hint="eastAsia" w:ascii="宋体" w:hAnsi="宋体" w:eastAsia="宋体" w:cs="宋体"/>
          <w:color w:val="000000"/>
          <w:sz w:val="28"/>
          <w:szCs w:val="28"/>
        </w:rPr>
        <w:t>：</w:t>
      </w:r>
      <w:r>
        <w:rPr>
          <w:rFonts w:hint="eastAsia" w:cs="宋体"/>
          <w:color w:val="000000"/>
          <w:sz w:val="28"/>
          <w:szCs w:val="28"/>
          <w:lang w:val="en-US" w:eastAsia="zh-CN"/>
        </w:rPr>
        <w:t>30000</w:t>
      </w:r>
      <w:r>
        <w:rPr>
          <w:rFonts w:hint="eastAsia" w:eastAsia="宋体" w:cs="宋体"/>
          <w:color w:val="000000"/>
          <w:sz w:val="28"/>
          <w:szCs w:val="28"/>
          <w:lang w:val="en-US" w:eastAsia="zh-CN"/>
        </w:rPr>
        <w:t>.00元</w:t>
      </w:r>
      <w:r>
        <w:rPr>
          <w:rFonts w:hint="eastAsia" w:eastAsia="宋体" w:cs="宋体"/>
          <w:color w:val="000000"/>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6</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cs="宋体"/>
          <w:color w:val="000000"/>
          <w:sz w:val="28"/>
          <w:szCs w:val="28"/>
          <w:lang w:val="en-US" w:eastAsia="zh-CN"/>
        </w:rPr>
        <w:t>7</w:t>
      </w:r>
      <w:r>
        <w:rPr>
          <w:rFonts w:hint="eastAsia" w:eastAsia="宋体" w:cs="宋体"/>
          <w:color w:val="000000"/>
          <w:sz w:val="28"/>
          <w:szCs w:val="28"/>
          <w:lang w:val="en-US" w:eastAsia="zh-CN"/>
        </w:rPr>
        <w:t>、采购需求：</w:t>
      </w:r>
      <w:r>
        <w:rPr>
          <w:rFonts w:hint="eastAsia"/>
          <w:sz w:val="32"/>
          <w:szCs w:val="32"/>
          <w:lang w:val="en-US" w:eastAsia="zh-CN"/>
        </w:rPr>
        <w:t>3台中文速录机</w:t>
      </w:r>
      <w:r>
        <w:rPr>
          <w:rFonts w:hint="eastAsia" w:cs="宋体"/>
          <w:color w:val="000000"/>
          <w:sz w:val="28"/>
          <w:szCs w:val="28"/>
          <w:lang w:val="en-US" w:eastAsia="zh-CN"/>
        </w:rPr>
        <w:t>，</w:t>
      </w:r>
      <w:r>
        <w:rPr>
          <w:rFonts w:hint="eastAsia" w:eastAsia="宋体" w:cs="宋体"/>
          <w:color w:val="000000"/>
          <w:sz w:val="28"/>
          <w:szCs w:val="28"/>
          <w:lang w:val="en-US" w:eastAsia="zh-CN"/>
        </w:rPr>
        <w:t>详见采购需求。</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2、本项目的特定资格要求：具有有效的营业执照，具有履行合同所必需的设备和专业技术能力，并具有本次采购服务的保障能力及售后服务能力。</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 xml:space="preserve">3、本项目不接受联合体参与投标。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4"/>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4"/>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4"/>
        <w:shd w:val="clear" w:color="auto" w:fill="FFFFFF"/>
        <w:spacing w:before="0" w:beforeAutospacing="0" w:after="0" w:afterAutospacing="0" w:line="560" w:lineRule="exact"/>
        <w:ind w:firstLine="560" w:firstLineChars="200"/>
        <w:jc w:val="both"/>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w:t>
      </w:r>
      <w:r>
        <w:rPr>
          <w:rFonts w:hint="eastAsia" w:cs="宋体"/>
          <w:color w:val="000000"/>
          <w:sz w:val="28"/>
          <w:szCs w:val="28"/>
          <w:u w:val="single"/>
          <w:lang w:val="en-US" w:eastAsia="zh-CN"/>
        </w:rPr>
        <w:t>4</w:t>
      </w:r>
      <w:r>
        <w:rPr>
          <w:rFonts w:hint="eastAsia" w:ascii="宋体" w:hAnsi="宋体" w:eastAsia="宋体" w:cs="宋体"/>
          <w:color w:val="000000"/>
          <w:sz w:val="28"/>
          <w:szCs w:val="28"/>
        </w:rPr>
        <w:t>年</w:t>
      </w:r>
      <w:r>
        <w:rPr>
          <w:rFonts w:hint="eastAsia" w:cs="宋体"/>
          <w:color w:val="000000"/>
          <w:sz w:val="28"/>
          <w:szCs w:val="28"/>
          <w:u w:val="single"/>
          <w:lang w:val="en-US" w:eastAsia="zh-CN"/>
        </w:rPr>
        <w:t>3</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15</w:t>
      </w:r>
      <w:r>
        <w:rPr>
          <w:rFonts w:hint="eastAsia" w:ascii="宋体" w:hAnsi="宋体" w:eastAsia="宋体" w:cs="宋体"/>
          <w:color w:val="000000"/>
          <w:sz w:val="28"/>
          <w:szCs w:val="28"/>
        </w:rPr>
        <w:t>日</w:t>
      </w:r>
      <w:r>
        <w:rPr>
          <w:rFonts w:hint="eastAsia" w:cs="宋体"/>
          <w:color w:val="000000"/>
          <w:sz w:val="28"/>
          <w:szCs w:val="28"/>
          <w:u w:val="single"/>
          <w:lang w:val="en-US" w:eastAsia="zh-CN"/>
        </w:rPr>
        <w:t>9</w:t>
      </w:r>
      <w:r>
        <w:rPr>
          <w:rFonts w:hint="eastAsia" w:ascii="宋体" w:hAnsi="宋体" w:eastAsia="宋体" w:cs="宋体"/>
          <w:color w:val="000000"/>
          <w:sz w:val="28"/>
          <w:szCs w:val="28"/>
        </w:rPr>
        <w:t>时</w:t>
      </w:r>
      <w:r>
        <w:rPr>
          <w:rFonts w:hint="eastAsia" w:cs="宋体"/>
          <w:color w:val="000000"/>
          <w:sz w:val="28"/>
          <w:szCs w:val="28"/>
          <w:u w:val="single"/>
          <w:lang w:val="en-US" w:eastAsia="zh-CN"/>
        </w:rPr>
        <w:t>3</w:t>
      </w:r>
      <w:r>
        <w:rPr>
          <w:rFonts w:hint="eastAsia" w:eastAsia="宋体" w:cs="宋体"/>
          <w:color w:val="000000"/>
          <w:sz w:val="28"/>
          <w:szCs w:val="28"/>
          <w:u w:val="single"/>
          <w:lang w:val="en-US" w:eastAsia="zh-CN"/>
        </w:rPr>
        <w:t>0</w:t>
      </w:r>
      <w:r>
        <w:rPr>
          <w:rFonts w:hint="eastAsia" w:eastAsia="宋体" w:cs="宋体"/>
          <w:color w:val="000000"/>
          <w:sz w:val="28"/>
          <w:szCs w:val="28"/>
          <w:lang w:val="en-US" w:eastAsia="zh-CN"/>
        </w:rPr>
        <w:t>分</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w:t>
      </w:r>
      <w:r>
        <w:rPr>
          <w:rFonts w:hint="eastAsia" w:cs="宋体"/>
          <w:color w:val="000000"/>
          <w:sz w:val="28"/>
          <w:szCs w:val="28"/>
          <w:lang w:val="en-US" w:eastAsia="zh-CN"/>
        </w:rPr>
        <w:t>四</w:t>
      </w:r>
      <w:r>
        <w:rPr>
          <w:rFonts w:hint="eastAsia" w:eastAsia="宋体" w:cs="宋体"/>
          <w:color w:val="000000"/>
          <w:sz w:val="28"/>
          <w:szCs w:val="28"/>
          <w:lang w:eastAsia="zh-CN"/>
        </w:rPr>
        <w:t>楼会议室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rPr>
        <w:t>五、响应文件提交时间、截止时间及</w:t>
      </w:r>
      <w:r>
        <w:rPr>
          <w:rFonts w:hint="eastAsia" w:ascii="宋体" w:hAnsi="宋体" w:eastAsia="宋体" w:cs="宋体"/>
          <w:b/>
          <w:bCs/>
          <w:color w:val="000000"/>
          <w:kern w:val="0"/>
          <w:sz w:val="28"/>
          <w:szCs w:val="28"/>
          <w:lang w:eastAsia="zh-CN"/>
        </w:rPr>
        <w:t>方式</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1、响应文件提交时间：2024年3月15日8时30分-9时30分。</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2、响应文件递交的截止时间：2024年3月15</w:t>
      </w:r>
      <w:bookmarkStart w:id="18" w:name="_GoBack"/>
      <w:bookmarkEnd w:id="18"/>
      <w:r>
        <w:rPr>
          <w:rFonts w:hint="eastAsia" w:ascii="宋体" w:hAnsi="宋体" w:cs="宋体"/>
          <w:color w:val="000000"/>
          <w:sz w:val="28"/>
          <w:szCs w:val="28"/>
          <w:lang w:val="en-US" w:eastAsia="zh-CN"/>
        </w:rPr>
        <w:t>日9时30分</w:t>
      </w:r>
    </w:p>
    <w:p>
      <w:pPr>
        <w:pStyle w:val="15"/>
        <w:ind w:left="0" w:leftChars="0" w:firstLine="840" w:firstLineChars="300"/>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3、提交地点：阜阳工业经济学校南校区行政楼三楼采购办公室（地址：阜阳市颍州区阜南路889号）</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cs="宋体"/>
          <w:color w:val="000000"/>
          <w:sz w:val="28"/>
          <w:szCs w:val="28"/>
          <w:lang w:val="en-US" w:eastAsia="zh-CN"/>
        </w:rPr>
        <w:t>需求</w:t>
      </w:r>
      <w:r>
        <w:rPr>
          <w:rFonts w:hint="eastAsia" w:ascii="宋体" w:hAnsi="宋体" w:eastAsia="宋体" w:cs="宋体"/>
          <w:color w:val="000000"/>
          <w:sz w:val="28"/>
          <w:szCs w:val="28"/>
          <w:lang w:eastAsia="zh-CN"/>
        </w:rPr>
        <w:t>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w:t>
      </w:r>
      <w:r>
        <w:rPr>
          <w:rFonts w:hint="eastAsia" w:cs="宋体"/>
          <w:color w:val="000000"/>
          <w:sz w:val="28"/>
          <w:szCs w:val="28"/>
          <w:lang w:val="en-US" w:eastAsia="zh-CN"/>
        </w:rPr>
        <w:t>教务科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ascii="宋体" w:hAnsi="宋体" w:eastAsia="宋体" w:cs="宋体"/>
          <w:color w:val="000000"/>
          <w:sz w:val="28"/>
          <w:szCs w:val="28"/>
          <w:lang w:eastAsia="zh-CN"/>
        </w:rPr>
        <w:t>阜南路</w:t>
      </w:r>
      <w:r>
        <w:rPr>
          <w:rFonts w:hint="eastAsia" w:ascii="宋体" w:hAnsi="宋体"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cs="宋体"/>
          <w:color w:val="000000"/>
          <w:sz w:val="28"/>
          <w:szCs w:val="28"/>
          <w:lang w:val="en-US" w:eastAsia="zh-CN"/>
        </w:rPr>
        <w:t>贾</w:t>
      </w:r>
      <w:r>
        <w:rPr>
          <w:rFonts w:hint="eastAsia" w:ascii="宋体" w:hAnsi="宋体" w:eastAsia="宋体" w:cs="宋体"/>
          <w:color w:val="000000"/>
          <w:sz w:val="28"/>
          <w:szCs w:val="28"/>
          <w:lang w:val="en-US" w:eastAsia="zh-CN"/>
        </w:rPr>
        <w:t>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cs="宋体"/>
          <w:color w:val="000000"/>
          <w:sz w:val="28"/>
          <w:szCs w:val="28"/>
          <w:lang w:val="en-US" w:eastAsia="zh-CN"/>
        </w:rPr>
        <w:t>13855893904</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4"/>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6"/>
        <w:tblW w:w="1002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950"/>
        <w:gridCol w:w="68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9"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50"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en-US"/>
              </w:rPr>
              <w:t>条款名称</w:t>
            </w:r>
          </w:p>
        </w:tc>
        <w:tc>
          <w:tcPr>
            <w:tcW w:w="6886"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教务科财经商贸专业组中文速录机采购项目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需求科室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阜阳工业经济学校教务科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采购办公室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阜阳工业经济学校采购办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实质性</w:t>
            </w:r>
            <w:r>
              <w:rPr>
                <w:rFonts w:hint="eastAsia" w:asciiTheme="minorEastAsia" w:hAnsiTheme="minorEastAsia" w:eastAsiaTheme="minorEastAsia" w:cstheme="minorEastAsia"/>
                <w:sz w:val="24"/>
                <w:szCs w:val="24"/>
                <w:lang w:val="en-US" w:eastAsia="zh-CN"/>
              </w:rPr>
              <w:t>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不允许偏离的实质性要求和条件：</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询价公告、</w:t>
            </w:r>
            <w:r>
              <w:rPr>
                <w:rFonts w:hint="eastAsia" w:asciiTheme="minorEastAsia" w:hAnsiTheme="minorEastAsia" w:eastAsiaTheme="minorEastAsia" w:cstheme="minorEastAsia"/>
                <w:sz w:val="24"/>
                <w:szCs w:val="24"/>
                <w:u w:val="single"/>
                <w:lang w:eastAsia="zh-CN"/>
              </w:rPr>
              <w:t>第七章</w:t>
            </w:r>
            <w:r>
              <w:rPr>
                <w:rFonts w:hint="eastAsia" w:asciiTheme="minorEastAsia" w:hAnsiTheme="minorEastAsia" w:eastAsiaTheme="minorEastAsia" w:cstheme="minorEastAsia"/>
                <w:sz w:val="24"/>
                <w:szCs w:val="24"/>
                <w:u w:val="single"/>
              </w:rPr>
              <w:t>采购需求</w:t>
            </w:r>
            <w:r>
              <w:rPr>
                <w:rFonts w:hint="eastAsia" w:asciiTheme="minorEastAsia" w:hAnsiTheme="minorEastAsia" w:eastAsiaTheme="minorEastAsia" w:cstheme="minorEastAsia"/>
                <w:sz w:val="24"/>
                <w:szCs w:val="24"/>
                <w:u w:val="single"/>
                <w:lang w:eastAsia="zh-CN"/>
              </w:rPr>
              <w:t>及供应商须知前附表所有要求</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i/>
                <w:iCs/>
                <w:sz w:val="24"/>
                <w:szCs w:val="24"/>
                <w:u w:val="single"/>
              </w:rPr>
              <w:t xml:space="preserve"> </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响应文件要求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响应</w:t>
            </w:r>
            <w:r>
              <w:rPr>
                <w:rFonts w:hint="eastAsia" w:asciiTheme="minorEastAsia" w:hAnsiTheme="minorEastAsia" w:eastAsiaTheme="minorEastAsia" w:cstheme="minorEastAsia"/>
                <w:sz w:val="24"/>
                <w:szCs w:val="24"/>
              </w:rPr>
              <w:t>文件的份数：正本1份；副本</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r>
              <w:rPr>
                <w:rFonts w:hint="eastAsia" w:asciiTheme="minorEastAsia" w:hAnsiTheme="minorEastAsia" w:eastAsiaTheme="minorEastAsia" w:cstheme="minorEastAsia"/>
                <w:bCs/>
                <w:sz w:val="24"/>
                <w:szCs w:val="24"/>
                <w:lang w:val="en-US" w:eastAsia="zh-CN"/>
              </w:rPr>
              <w:t>0元</w:t>
            </w:r>
            <w:r>
              <w:rPr>
                <w:rFonts w:hint="eastAsia" w:asciiTheme="minorEastAsia" w:hAnsiTheme="minorEastAsia" w:eastAsiaTheme="minorEastAsia" w:cstheme="minorEastAsia"/>
                <w:bCs/>
                <w:sz w:val="24"/>
                <w:szCs w:val="24"/>
              </w:rPr>
              <w:t>，中标通知发出后 7 天内，转入采购人指定的账号,合同完成且验收合格后退还履约保证金。</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 xml:space="preserve">保证金的形式：转账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保证金的金额：</w:t>
            </w:r>
            <w:r>
              <w:rPr>
                <w:rFonts w:hint="eastAsia" w:asciiTheme="minorEastAsia" w:hAnsiTheme="minorEastAsia" w:eastAsiaTheme="minorEastAsia" w:cstheme="minorEastAsia"/>
                <w:bCs/>
                <w:sz w:val="24"/>
                <w:szCs w:val="24"/>
                <w:lang w:val="en-US" w:eastAsia="zh-CN"/>
              </w:rPr>
              <w:t>0</w:t>
            </w:r>
            <w:r>
              <w:rPr>
                <w:rFonts w:hint="eastAsia" w:asciiTheme="minorEastAsia" w:hAnsiTheme="minorEastAsia" w:eastAsiaTheme="minorEastAsia" w:cstheme="minorEastAsia"/>
                <w:bCs/>
                <w:sz w:val="24"/>
                <w:szCs w:val="24"/>
              </w:rPr>
              <w:t xml:space="preserve">元人民币。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转入下列账户：</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账户名称：阜阳市财政国库支付中心</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    号：1311036629200060378-000000575</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 xml:space="preserve">开 户 行：工行阜阳颍州支行 </w:t>
            </w:r>
          </w:p>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备注：转账时备注填写（ 项目）名称</w:t>
            </w: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eastAsia="宋体" w:asciiTheme="minorEastAsia" w:hAnsiTheme="minorEastAsia" w:cstheme="minorEastAsia"/>
                <w:bCs/>
                <w:sz w:val="24"/>
                <w:szCs w:val="24"/>
                <w:lang w:val="en-US" w:eastAsia="zh-CN"/>
              </w:rPr>
            </w:pPr>
            <w:r>
              <w:rPr>
                <w:rFonts w:hint="eastAsia" w:asciiTheme="minorEastAsia" w:hAnsiTheme="minorEastAsia" w:eastAsiaTheme="minorEastAsia" w:cstheme="minorEastAsia"/>
                <w:bCs/>
                <w:sz w:val="24"/>
                <w:szCs w:val="24"/>
              </w:rPr>
              <w:t>供应商质疑</w:t>
            </w:r>
            <w:r>
              <w:rPr>
                <w:rFonts w:hint="default" w:asciiTheme="minorEastAsia" w:hAnsiTheme="minorEastAsia" w:eastAsiaTheme="minorEastAsia" w:cstheme="minorEastAsia"/>
                <w:bCs/>
                <w:sz w:val="24"/>
                <w:szCs w:val="24"/>
                <w:lang w:eastAsia="en-US"/>
              </w:rPr>
              <w:t>截止时间</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default"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对采购文件提出质疑的，应当在提交响应文件截止时间前</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lang w:eastAsia="zh-CN"/>
              </w:rPr>
              <w:t xml:space="preserve">日内通过书面提出。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特别提示：提出质疑时须注明项目名称及项目编号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询问答复及澄清或修改：在</w:t>
            </w:r>
            <w:r>
              <w:rPr>
                <w:rFonts w:hint="eastAsia" w:asciiTheme="minorEastAsia" w:hAnsiTheme="minorEastAsia" w:eastAsiaTheme="minorEastAsia" w:cstheme="minorEastAsia"/>
                <w:bCs/>
                <w:sz w:val="24"/>
                <w:szCs w:val="24"/>
                <w:lang w:val="en-US" w:eastAsia="zh-CN"/>
              </w:rPr>
              <w:t>阜阳工业经济学校网站</w:t>
            </w:r>
            <w:r>
              <w:rPr>
                <w:rFonts w:hint="eastAsia" w:asciiTheme="minorEastAsia" w:hAnsiTheme="minorEastAsia" w:eastAsiaTheme="minorEastAsia" w:cstheme="minorEastAsia"/>
                <w:bCs/>
                <w:sz w:val="24"/>
                <w:szCs w:val="24"/>
                <w:lang w:eastAsia="zh-CN"/>
              </w:rPr>
              <w:t>http://www.fycx.com.cn/发布，采购</w:t>
            </w:r>
            <w:r>
              <w:rPr>
                <w:rFonts w:hint="eastAsia" w:asciiTheme="minorEastAsia" w:hAnsiTheme="minorEastAsia" w:eastAsiaTheme="minorEastAsia" w:cstheme="minorEastAsia"/>
                <w:bCs/>
                <w:sz w:val="24"/>
                <w:szCs w:val="24"/>
                <w:lang w:val="en-US" w:eastAsia="zh-CN"/>
              </w:rPr>
              <w:t>单位</w:t>
            </w:r>
            <w:r>
              <w:rPr>
                <w:rFonts w:hint="eastAsia" w:asciiTheme="minorEastAsia" w:hAnsiTheme="minorEastAsia" w:eastAsiaTheme="minorEastAsia" w:cstheme="minorEastAsia"/>
                <w:bCs/>
                <w:sz w:val="24"/>
                <w:szCs w:val="24"/>
                <w:lang w:eastAsia="zh-CN"/>
              </w:rPr>
              <w:t>不再另行通知。该答复内容及澄清或修改内容为采购文件的组成部分，对供应商具有同样约束力效力。（所有潜在供应商在响应文件提交截止时间前有义务在</w:t>
            </w:r>
            <w:r>
              <w:rPr>
                <w:rFonts w:hint="eastAsia" w:asciiTheme="minorEastAsia" w:hAnsiTheme="minorEastAsia" w:eastAsiaTheme="minorEastAsia" w:cstheme="minorEastAsia"/>
                <w:bCs/>
                <w:sz w:val="24"/>
                <w:szCs w:val="24"/>
                <w:lang w:val="en-US" w:eastAsia="zh-CN"/>
              </w:rPr>
              <w:t>阜阳工业经济学校</w:t>
            </w:r>
            <w:r>
              <w:rPr>
                <w:rFonts w:hint="eastAsia" w:asciiTheme="minorEastAsia" w:hAnsiTheme="minorEastAsia" w:eastAsiaTheme="minorEastAsia" w:cstheme="minorEastAsia"/>
                <w:bCs/>
                <w:sz w:val="24"/>
                <w:szCs w:val="24"/>
                <w:lang w:eastAsia="zh-CN"/>
              </w:rPr>
              <w:t>网站自行查询，澄清、修改及答疑回复视为全部知晓，无需回复确认）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质疑函递交的方式</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书面提出</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接收部门：阜阳工业经济学校</w:t>
            </w:r>
            <w:r>
              <w:rPr>
                <w:rFonts w:hint="eastAsia" w:asciiTheme="minorEastAsia" w:hAnsiTheme="minorEastAsia" w:eastAsiaTheme="minorEastAsia" w:cstheme="minorEastAsia"/>
                <w:bCs/>
                <w:sz w:val="24"/>
                <w:szCs w:val="24"/>
                <w:lang w:val="en-US" w:eastAsia="zh-CN"/>
              </w:rPr>
              <w:t>采购办</w:t>
            </w:r>
          </w:p>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通讯地址：安徽省阜阳市阜南路 889 号</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系</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人：</w:t>
            </w:r>
            <w:r>
              <w:rPr>
                <w:rFonts w:hint="eastAsia" w:asciiTheme="minorEastAsia" w:hAnsiTheme="minorEastAsia" w:eastAsiaTheme="minorEastAsia" w:cstheme="minorEastAsia"/>
                <w:bCs/>
                <w:sz w:val="24"/>
                <w:szCs w:val="24"/>
                <w:lang w:val="en-US" w:eastAsia="zh-CN"/>
              </w:rPr>
              <w:t>段老师</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联系电话：</w:t>
            </w:r>
            <w:r>
              <w:rPr>
                <w:rFonts w:hint="eastAsia" w:asciiTheme="minorEastAsia" w:hAnsiTheme="minorEastAsia" w:eastAsiaTheme="minorEastAsia" w:cstheme="minorEastAsia"/>
                <w:bCs/>
                <w:sz w:val="24"/>
                <w:szCs w:val="24"/>
                <w:lang w:val="en-US" w:eastAsia="zh-CN"/>
              </w:rPr>
              <w:t>0558-2703272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特别提示</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宋体" w:hAnsi="宋体" w:eastAsia="宋体" w:cs="宋体"/>
                <w:b/>
                <w:bCs/>
                <w:sz w:val="28"/>
                <w:szCs w:val="28"/>
              </w:rPr>
              <w:t>供应商应按照询价文件中要求的投标文件格式制作投标文件，</w:t>
            </w:r>
            <w:r>
              <w:rPr>
                <w:rFonts w:hint="eastAsia" w:ascii="宋体" w:hAnsi="宋体" w:eastAsia="宋体" w:cs="宋体"/>
                <w:b/>
                <w:bCs/>
                <w:sz w:val="28"/>
                <w:szCs w:val="28"/>
                <w:lang w:eastAsia="zh-CN"/>
              </w:rPr>
              <w:t>投标文件必须胶装，不得活页装订，</w:t>
            </w:r>
            <w:r>
              <w:rPr>
                <w:rFonts w:hint="eastAsia" w:ascii="宋体" w:hAnsi="宋体" w:eastAsia="宋体" w:cs="宋体"/>
                <w:b/>
                <w:bCs/>
                <w:sz w:val="28"/>
                <w:szCs w:val="28"/>
              </w:rPr>
              <w:t>否则投标将被否决。</w:t>
            </w:r>
          </w:p>
        </w:tc>
      </w:tr>
    </w:tbl>
    <w:p>
      <w:pPr>
        <w:pBdr>
          <w:top w:val="single" w:color="auto" w:sz="4" w:space="1"/>
          <w:left w:val="single" w:color="auto" w:sz="4" w:space="1"/>
          <w:bottom w:val="single" w:color="auto" w:sz="4" w:space="1"/>
          <w:right w:val="single" w:color="auto" w:sz="4" w:space="1"/>
        </w:pBdr>
        <w:rPr>
          <w:rFonts w:ascii="宋体" w:hAnsi="宋体"/>
          <w:sz w:val="22"/>
          <w:szCs w:val="24"/>
        </w:rPr>
        <w:sectPr>
          <w:headerReference r:id="rId3" w:type="default"/>
          <w:footerReference r:id="rId4" w:type="default"/>
          <w:footerReference r:id="rId5" w:type="even"/>
          <w:pgSz w:w="11906" w:h="16838"/>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3" w:name="_Toc466549686"/>
      <w:r>
        <w:rPr>
          <w:rFonts w:hint="eastAsia" w:ascii="方正宋黑简体" w:hAnsi="宋体" w:eastAsia="方正宋黑简体" w:cs="黑体"/>
          <w:b/>
          <w:bCs/>
          <w:sz w:val="32"/>
          <w:szCs w:val="32"/>
        </w:rPr>
        <w:t>三、供应商报价须知</w:t>
      </w:r>
      <w:bookmarkEnd w:id="3"/>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4" w:name="_Toc466549687"/>
      <w:r>
        <w:rPr>
          <w:rFonts w:hint="eastAsia" w:ascii="方正宋黑简体" w:hAnsi="宋体" w:eastAsia="方正宋黑简体" w:cs="黑体"/>
          <w:b/>
          <w:bCs/>
          <w:sz w:val="32"/>
          <w:szCs w:val="32"/>
        </w:rPr>
        <w:t>四、签订合同</w:t>
      </w:r>
      <w:bookmarkEnd w:id="4"/>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5" w:name="_Toc466549688"/>
      <w:r>
        <w:rPr>
          <w:rFonts w:hint="eastAsia" w:ascii="方正宋黑简体" w:hAnsi="宋体" w:eastAsia="方正宋黑简体" w:cs="黑体"/>
          <w:b/>
          <w:bCs/>
          <w:sz w:val="32"/>
          <w:szCs w:val="32"/>
        </w:rPr>
        <w:t>五、评审方法及废标</w:t>
      </w:r>
      <w:bookmarkEnd w:id="5"/>
    </w:p>
    <w:p>
      <w:pPr>
        <w:pStyle w:val="8"/>
        <w:spacing w:before="160" w:line="360" w:lineRule="auto"/>
        <w:ind w:left="671" w:right="128" w:hanging="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、评审方法</w:t>
      </w:r>
    </w:p>
    <w:p>
      <w:pPr>
        <w:pStyle w:val="8"/>
        <w:spacing w:before="5" w:after="6" w:line="360" w:lineRule="auto"/>
        <w:ind w:left="234" w:right="297" w:firstLine="4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询价小组对通过供应商的响应文件进行评审，以确定其是否满足询价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的实质性要求。评审表如下：</w:t>
      </w:r>
    </w:p>
    <w:tbl>
      <w:tblPr>
        <w:tblStyle w:val="16"/>
        <w:tblW w:w="8476"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shd w:val="clear" w:color="auto" w:fill="auto"/>
            <w:noWrap w:val="0"/>
            <w:vAlign w:val="top"/>
          </w:tcPr>
          <w:p>
            <w:pPr>
              <w:pStyle w:val="55"/>
              <w:keepNext w:val="0"/>
              <w:keepLines w:val="0"/>
              <w:suppressLineNumbers w:val="0"/>
              <w:spacing w:before="26" w:beforeAutospacing="0" w:after="0" w:afterAutospacing="0" w:line="360" w:lineRule="auto"/>
              <w:ind w:left="3870" w:right="3833"/>
              <w:jc w:val="center"/>
              <w:rPr>
                <w:rFonts w:hint="eastAsia"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77" w:type="dxa"/>
            <w:shd w:val="clear" w:color="auto" w:fill="auto"/>
            <w:noWrap w:val="0"/>
            <w:vAlign w:val="center"/>
          </w:tcPr>
          <w:p>
            <w:pPr>
              <w:pStyle w:val="55"/>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序号</w:t>
            </w:r>
          </w:p>
        </w:tc>
        <w:tc>
          <w:tcPr>
            <w:tcW w:w="1894" w:type="dxa"/>
            <w:shd w:val="clear" w:color="auto" w:fill="auto"/>
            <w:noWrap w:val="0"/>
            <w:vAlign w:val="center"/>
          </w:tcPr>
          <w:p>
            <w:pPr>
              <w:pStyle w:val="55"/>
              <w:keepNext w:val="0"/>
              <w:keepLines w:val="0"/>
              <w:suppressLineNumbers w:val="0"/>
              <w:spacing w:before="1" w:beforeAutospacing="0" w:after="0" w:afterAutospacing="0" w:line="360" w:lineRule="auto"/>
              <w:ind w:left="107" w:right="92"/>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评审指标</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评审标准</w:t>
            </w:r>
          </w:p>
        </w:tc>
        <w:tc>
          <w:tcPr>
            <w:tcW w:w="3339" w:type="dxa"/>
            <w:shd w:val="clear" w:color="auto" w:fill="auto"/>
            <w:noWrap w:val="0"/>
            <w:vAlign w:val="center"/>
          </w:tcPr>
          <w:p>
            <w:pPr>
              <w:pStyle w:val="55"/>
              <w:keepNext w:val="0"/>
              <w:keepLines w:val="0"/>
              <w:suppressLineNumbers w:val="0"/>
              <w:spacing w:before="1"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1</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营业执照</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合法有效</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提供有效的供应商营业执照</w:t>
            </w:r>
            <w:r>
              <w:rPr>
                <w:rFonts w:hint="eastAsia" w:asciiTheme="minorEastAsia" w:hAnsiTheme="minorEastAsia" w:eastAsiaTheme="minorEastAsia" w:cstheme="minorEastAsia"/>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en-US"/>
              </w:rPr>
              <w:t>报价</w:t>
            </w:r>
            <w:r>
              <w:rPr>
                <w:rFonts w:hint="eastAsia" w:asciiTheme="minorEastAsia" w:hAnsiTheme="minorEastAsia" w:eastAsiaTheme="minorEastAsia" w:cstheme="minorEastAsia"/>
                <w:sz w:val="24"/>
                <w:szCs w:val="24"/>
                <w:lang w:val="en-US" w:eastAsia="zh-CN"/>
              </w:rPr>
              <w:t>函</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报价</w:t>
            </w:r>
            <w:r>
              <w:rPr>
                <w:rFonts w:hint="eastAsia" w:asciiTheme="minorEastAsia" w:hAnsiTheme="minorEastAsia" w:eastAsiaTheme="minorEastAsia" w:cstheme="minorEastAsia"/>
                <w:sz w:val="24"/>
                <w:szCs w:val="24"/>
                <w:lang w:val="en-US" w:eastAsia="zh-CN"/>
              </w:rPr>
              <w:t>函</w:t>
            </w: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投标人诚信承诺书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格式、填写要求符合询价通知书规定并加盖供应商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报价明细表</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商务响应情况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采购需求中对付款方式、供货及安装期限、供货安装地点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质保及售后服务</w:t>
            </w:r>
            <w:r>
              <w:rPr>
                <w:rFonts w:hint="eastAsia" w:asciiTheme="minorEastAsia" w:hAnsiTheme="minorEastAsia" w:eastAsiaTheme="minorEastAsia" w:cstheme="minorEastAsia"/>
                <w:sz w:val="24"/>
                <w:szCs w:val="24"/>
              </w:rPr>
              <w:t>的要求。</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技术响应情况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采购需求中货物技术参数及要求</w:t>
            </w:r>
            <w:r>
              <w:rPr>
                <w:rFonts w:hint="eastAsia" w:asciiTheme="minorEastAsia" w:hAnsiTheme="minorEastAsia" w:eastAsiaTheme="minorEastAsia" w:cstheme="minorEastAsia"/>
                <w:sz w:val="24"/>
                <w:szCs w:val="24"/>
                <w:lang w:eastAsia="zh-CN"/>
              </w:rPr>
              <w:t>。</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5.2 技术响应表</w:t>
            </w:r>
            <w:r>
              <w:rPr>
                <w:rFonts w:hint="eastAsia" w:asciiTheme="minorEastAsia" w:hAnsiTheme="minorEastAsia" w:eastAsiaTheme="minorEastAsia" w:cstheme="minorEastAsia"/>
                <w:sz w:val="24"/>
                <w:szCs w:val="24"/>
                <w:lang w:eastAsia="zh-CN"/>
              </w:rPr>
              <w:t>）</w:t>
            </w:r>
          </w:p>
        </w:tc>
      </w:tr>
    </w:tbl>
    <w:p>
      <w:pPr>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评审指标通过标准：</w:t>
      </w:r>
      <w:r>
        <w:rPr>
          <w:rFonts w:hint="eastAsia" w:asciiTheme="minorEastAsia" w:hAnsiTheme="minorEastAsia" w:eastAsiaTheme="minorEastAsia" w:cstheme="minorEastAsia"/>
          <w:sz w:val="24"/>
          <w:szCs w:val="24"/>
        </w:rPr>
        <w:t>供应商必须通过评审表中的全部评审指标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否则按无效标处理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二、本次询价活动将采用有效低价方法评审。</w:t>
      </w:r>
      <w:r>
        <w:rPr>
          <w:rFonts w:hint="eastAsia" w:asciiTheme="minorEastAsia" w:hAnsiTheme="minorEastAsia" w:eastAsiaTheme="minorEastAsia" w:cstheme="minorEastAsia"/>
          <w:kern w:val="2"/>
          <w:sz w:val="24"/>
          <w:szCs w:val="24"/>
          <w:lang w:val="en-US" w:eastAsia="zh-CN" w:bidi="ar-SA"/>
        </w:rPr>
        <w:t>询价小组根据符合评审表要求且报价最低的原则确定成交供应商。如果有效最低报价出现两家或两家以上相同者，且均通过询价小组评审，则以质优与服务优的优先，如质优与服务优相同则采取随机摇号方式确定成交单位。</w:t>
      </w:r>
    </w:p>
    <w:p>
      <w:pPr>
        <w:pStyle w:val="8"/>
        <w:spacing w:before="160" w:line="360" w:lineRule="auto"/>
        <w:ind w:right="128"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三、在询价过程中，出现下列情形之一的，应予废标：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3）报价文件载明的询价项目完成期限超过询价文件规定的期限；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四、在询价过程中，出现下列情形之一的，供应商的报价文件无效：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3）不能响应询价文件工期、质量、售后服务、商务条款要求等询价文件中载明要求内容的，将被视为无效投标。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4）不按照招标文件中规定的投标文件格式制作投标文件，或不能满足询价文件其他要求内容的，将被视为无效投标。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5）响应文件中有采购人不可接受的条款的，将被视为无效投标。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6）响应报价高于或等于最高限价的。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bookmarkStart w:id="6" w:name="_Toc466549689"/>
      <w:r>
        <w:rPr>
          <w:rFonts w:hint="eastAsia" w:asciiTheme="minorEastAsia" w:hAnsiTheme="minorEastAsia" w:eastAsiaTheme="minorEastAsia" w:cstheme="minorEastAsia"/>
          <w:b/>
          <w:kern w:val="2"/>
          <w:sz w:val="24"/>
          <w:szCs w:val="24"/>
          <w:lang w:val="en-US" w:eastAsia="zh-CN" w:bidi="ar-SA"/>
        </w:rPr>
        <w:t>五、关于投标人不足三家的处理方式(若询价文件中有与此条款矛盾的，以该条款为准)：</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1）流标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2）若项目紧急，则由采购科室提出申请，经分管采购办的校领导批准，可继续进行采购活动，但仅有一家供应商的情况除外。</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6"/>
    </w:p>
    <w:p>
      <w:pPr>
        <w:pStyle w:val="9"/>
        <w:shd w:val="clear" w:color="auto" w:fill="FFFFFF"/>
        <w:spacing w:line="480" w:lineRule="atLeast"/>
        <w:ind w:firstLine="0"/>
        <w:rPr>
          <w:rFonts w:hint="eastAsia" w:ascii="仿宋" w:hAnsi="仿宋" w:eastAsia="仿宋" w:cs="Arial"/>
          <w:sz w:val="30"/>
          <w:szCs w:val="30"/>
        </w:rPr>
      </w:pPr>
    </w:p>
    <w:p>
      <w:pPr>
        <w:pStyle w:val="9"/>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9"/>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p>
    <w:p>
      <w:pPr>
        <w:pStyle w:val="9"/>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7" w:name="_Toc466549690"/>
    </w:p>
    <w:p>
      <w:pPr>
        <w:pStyle w:val="8"/>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pStyle w:val="15"/>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rPr>
          <w:rFonts w:hint="eastAsia"/>
        </w:rPr>
      </w:pPr>
    </w:p>
    <w:p>
      <w:pPr>
        <w:pStyle w:val="15"/>
        <w:ind w:left="0" w:leftChars="0" w:firstLine="0" w:firstLineChars="0"/>
        <w:rPr>
          <w:rFonts w:hint="eastAsia" w:ascii="方正宋黑简体" w:hAnsi="宋体" w:eastAsia="方正宋黑简体" w:cs="黑体"/>
          <w:b/>
          <w:bCs/>
          <w:sz w:val="32"/>
          <w:szCs w:val="32"/>
        </w:rPr>
      </w:pPr>
    </w:p>
    <w:bookmarkEnd w:id="7"/>
    <w:p>
      <w:pPr>
        <w:numPr>
          <w:ilvl w:val="0"/>
          <w:numId w:val="5"/>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8" w:name="_Toc466549691"/>
    </w:p>
    <w:p>
      <w:pPr>
        <w:pStyle w:val="4"/>
        <w:spacing w:line="360" w:lineRule="auto"/>
        <w:rPr>
          <w:rFonts w:cs="宋体"/>
          <w:sz w:val="30"/>
          <w:szCs w:val="30"/>
        </w:rPr>
      </w:pPr>
      <w:r>
        <w:rPr>
          <w:sz w:val="30"/>
          <w:szCs w:val="30"/>
        </w:rPr>
        <w:t>一、采购需求前附表</w:t>
      </w:r>
    </w:p>
    <w:tbl>
      <w:tblPr>
        <w:tblStyle w:val="16"/>
        <w:tblpPr w:leftFromText="180" w:rightFromText="180" w:vertAnchor="text" w:horzAnchor="page" w:tblpX="1893" w:tblpY="54"/>
        <w:tblOverlap w:val="never"/>
        <w:tblW w:w="8604" w:type="dxa"/>
        <w:tblInd w:w="0" w:type="dxa"/>
        <w:tblLayout w:type="fixed"/>
        <w:tblCellMar>
          <w:top w:w="0" w:type="dxa"/>
          <w:left w:w="0" w:type="dxa"/>
          <w:bottom w:w="0" w:type="dxa"/>
          <w:right w:w="0" w:type="dxa"/>
        </w:tblCellMar>
      </w:tblPr>
      <w:tblGrid>
        <w:gridCol w:w="1017"/>
        <w:gridCol w:w="2048"/>
        <w:gridCol w:w="5539"/>
      </w:tblGrid>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39" w:line="360" w:lineRule="auto"/>
              <w:ind w:left="285"/>
              <w:rPr>
                <w:rFonts w:ascii="宋体" w:hAnsi="宋体" w:cs="宋体"/>
                <w:sz w:val="24"/>
                <w:szCs w:val="24"/>
              </w:rPr>
            </w:pPr>
            <w:r>
              <w:rPr>
                <w:rFonts w:ascii="宋体" w:hAnsi="宋体" w:cs="宋体"/>
                <w:b/>
                <w:bCs/>
                <w:spacing w:val="15"/>
                <w:sz w:val="24"/>
                <w:szCs w:val="24"/>
              </w:rPr>
              <w:t>序号</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570"/>
              <w:rPr>
                <w:rFonts w:ascii="宋体" w:hAnsi="宋体" w:cs="宋体"/>
                <w:sz w:val="24"/>
                <w:szCs w:val="24"/>
              </w:rPr>
            </w:pPr>
            <w:r>
              <w:rPr>
                <w:rFonts w:ascii="宋体" w:hAnsi="宋体" w:cs="宋体"/>
                <w:b/>
                <w:bCs/>
                <w:spacing w:val="14"/>
                <w:sz w:val="24"/>
                <w:szCs w:val="24"/>
              </w:rPr>
              <w:t>条款名称</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1787"/>
              <w:rPr>
                <w:rFonts w:ascii="宋体" w:hAnsi="宋体" w:cs="宋体"/>
                <w:sz w:val="24"/>
                <w:szCs w:val="24"/>
              </w:rPr>
            </w:pPr>
            <w:r>
              <w:rPr>
                <w:rFonts w:ascii="宋体" w:hAnsi="宋体" w:cs="宋体"/>
                <w:b/>
                <w:bCs/>
                <w:spacing w:val="5"/>
                <w:sz w:val="24"/>
                <w:szCs w:val="24"/>
              </w:rPr>
              <w:t>内容、说明与要求</w:t>
            </w:r>
          </w:p>
        </w:tc>
      </w:tr>
      <w:tr>
        <w:tblPrEx>
          <w:tblCellMar>
            <w:top w:w="0" w:type="dxa"/>
            <w:left w:w="0" w:type="dxa"/>
            <w:bottom w:w="0" w:type="dxa"/>
            <w:right w:w="0" w:type="dxa"/>
          </w:tblCellMar>
        </w:tblPrEx>
        <w:trPr>
          <w:trHeight w:val="852"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40" w:line="360" w:lineRule="auto"/>
              <w:ind w:left="465"/>
              <w:rPr>
                <w:rFonts w:ascii="宋体" w:hAnsi="宋体" w:cs="宋体"/>
                <w:sz w:val="24"/>
                <w:szCs w:val="24"/>
              </w:rPr>
            </w:pPr>
            <w:r>
              <w:rPr>
                <w:rFonts w:ascii="宋体"/>
                <w:sz w:val="24"/>
                <w:szCs w:val="24"/>
              </w:rPr>
              <w:t xml:space="preserve">1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600"/>
              <w:rPr>
                <w:rFonts w:ascii="宋体" w:hAnsi="宋体" w:cs="宋体"/>
                <w:sz w:val="24"/>
                <w:szCs w:val="24"/>
              </w:rPr>
            </w:pPr>
            <w:r>
              <w:rPr>
                <w:rFonts w:ascii="宋体" w:hAnsi="宋体" w:cs="宋体"/>
                <w:sz w:val="24"/>
                <w:szCs w:val="24"/>
              </w:rPr>
              <w:t>付款方式</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before="27" w:line="360" w:lineRule="auto"/>
              <w:rPr>
                <w:rFonts w:hint="eastAsia" w:ascii="宋体" w:hAnsi="宋体" w:eastAsia="宋体" w:cs="宋体"/>
                <w:sz w:val="24"/>
                <w:szCs w:val="24"/>
                <w:lang w:eastAsia="zh-CN"/>
              </w:rPr>
            </w:pPr>
            <w:r>
              <w:rPr>
                <w:rFonts w:hint="eastAsia" w:ascii="宋体" w:hAnsi="宋体" w:cs="宋体"/>
                <w:sz w:val="24"/>
                <w:szCs w:val="24"/>
                <w:lang w:eastAsia="zh-CN"/>
              </w:rPr>
              <w:t>验收</w:t>
            </w:r>
            <w:r>
              <w:rPr>
                <w:rFonts w:hint="eastAsia" w:ascii="宋体" w:hAnsi="宋体" w:cs="宋体"/>
                <w:sz w:val="24"/>
                <w:szCs w:val="24"/>
                <w:lang w:val="en-US" w:eastAsia="zh-CN"/>
              </w:rPr>
              <w:t>合格</w:t>
            </w:r>
            <w:r>
              <w:rPr>
                <w:rFonts w:hint="eastAsia" w:ascii="宋体" w:hAnsi="宋体" w:cs="宋体"/>
                <w:sz w:val="24"/>
                <w:szCs w:val="24"/>
                <w:lang w:eastAsia="zh-CN"/>
              </w:rPr>
              <w:t>后一次性付清</w:t>
            </w:r>
          </w:p>
        </w:tc>
      </w:tr>
      <w:tr>
        <w:tblPrEx>
          <w:tblCellMar>
            <w:top w:w="0" w:type="dxa"/>
            <w:left w:w="0" w:type="dxa"/>
            <w:bottom w:w="0" w:type="dxa"/>
            <w:right w:w="0" w:type="dxa"/>
          </w:tblCellMar>
        </w:tblPrEx>
        <w:trPr>
          <w:trHeight w:val="723"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2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供货地点</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default" w:eastAsia="宋体"/>
                <w:b/>
                <w:kern w:val="0"/>
                <w:sz w:val="24"/>
                <w:szCs w:val="24"/>
                <w:lang w:val="en-US" w:eastAsia="zh-CN"/>
              </w:rPr>
            </w:pPr>
            <w:r>
              <w:rPr>
                <w:rFonts w:ascii="宋体" w:hAnsi="宋体" w:eastAsia="宋体" w:cs="宋体"/>
                <w:sz w:val="24"/>
                <w:szCs w:val="24"/>
                <w:lang w:eastAsia="en-US"/>
              </w:rPr>
              <w:t>阜阳</w:t>
            </w:r>
            <w:r>
              <w:rPr>
                <w:rFonts w:hint="eastAsia" w:ascii="宋体" w:hAnsi="宋体" w:eastAsia="宋体" w:cs="宋体"/>
                <w:sz w:val="24"/>
                <w:szCs w:val="24"/>
                <w:lang w:val="en-US" w:eastAsia="zh-CN"/>
              </w:rPr>
              <w:t>工业经济学校</w:t>
            </w:r>
          </w:p>
        </w:tc>
      </w:tr>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3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供货期限</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063"/>
              </w:tabs>
              <w:spacing w:line="360" w:lineRule="auto"/>
              <w:rPr>
                <w:rFonts w:hint="default" w:ascii="宋体" w:hAnsi="宋体" w:eastAsia="宋体" w:cs="宋体"/>
                <w:sz w:val="24"/>
                <w:szCs w:val="24"/>
                <w:u w:val="none" w:color="auto"/>
                <w:lang w:val="en-US" w:eastAsia="zh-CN"/>
              </w:rPr>
            </w:pPr>
            <w:r>
              <w:rPr>
                <w:rFonts w:hint="eastAsia" w:ascii="宋体" w:hAnsi="宋体" w:eastAsia="宋体" w:cs="宋体"/>
                <w:sz w:val="24"/>
                <w:szCs w:val="24"/>
                <w:u w:val="none" w:color="auto"/>
                <w:lang w:eastAsia="zh-CN"/>
              </w:rPr>
              <w:t>合同</w:t>
            </w:r>
            <w:r>
              <w:rPr>
                <w:rFonts w:hint="eastAsia" w:ascii="宋体" w:hAnsi="宋体" w:cs="宋体"/>
                <w:sz w:val="24"/>
                <w:szCs w:val="24"/>
                <w:u w:val="none" w:color="auto"/>
                <w:lang w:val="en-US" w:eastAsia="zh-CN"/>
              </w:rPr>
              <w:t>签订后10日内完成供货</w:t>
            </w:r>
          </w:p>
        </w:tc>
      </w:tr>
      <w:tr>
        <w:tblPrEx>
          <w:tblCellMar>
            <w:top w:w="0" w:type="dxa"/>
            <w:left w:w="0" w:type="dxa"/>
            <w:bottom w:w="0" w:type="dxa"/>
            <w:right w:w="0" w:type="dxa"/>
          </w:tblCellMar>
        </w:tblPrEx>
        <w:trPr>
          <w:trHeight w:val="99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4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质保期</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544"/>
              </w:tabs>
              <w:spacing w:line="360" w:lineRule="auto"/>
              <w:ind w:left="120"/>
              <w:rPr>
                <w:rFonts w:hint="default" w:ascii="宋体" w:hAnsi="宋体" w:cs="宋体"/>
                <w:sz w:val="24"/>
                <w:szCs w:val="24"/>
                <w:lang w:val="en-US"/>
              </w:rPr>
            </w:pPr>
            <w:r>
              <w:rPr>
                <w:rFonts w:hint="eastAsia" w:asciiTheme="minorEastAsia" w:hAnsiTheme="minorEastAsia" w:eastAsiaTheme="minorEastAsia" w:cstheme="minorEastAsia"/>
                <w:sz w:val="24"/>
                <w:szCs w:val="24"/>
                <w:lang w:val="en-US" w:eastAsia="zh-CN"/>
              </w:rPr>
              <w:t>三年</w:t>
            </w:r>
          </w:p>
        </w:tc>
      </w:tr>
    </w:tbl>
    <w:p>
      <w:pPr>
        <w:pStyle w:val="4"/>
        <w:numPr>
          <w:ilvl w:val="0"/>
          <w:numId w:val="6"/>
        </w:numPr>
        <w:spacing w:line="480" w:lineRule="auto"/>
      </w:pPr>
      <w:r>
        <w:t>货物需求</w:t>
      </w:r>
    </w:p>
    <w:tbl>
      <w:tblPr>
        <w:tblStyle w:val="16"/>
        <w:tblpPr w:leftFromText="180" w:rightFromText="180" w:vertAnchor="text" w:horzAnchor="page" w:tblpXSpec="center" w:tblpY="1034"/>
        <w:tblOverlap w:val="never"/>
        <w:tblW w:w="86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9"/>
        <w:gridCol w:w="1470"/>
        <w:gridCol w:w="4515"/>
        <w:gridCol w:w="555"/>
        <w:gridCol w:w="690"/>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389" w:type="dxa"/>
            <w:vAlign w:val="center"/>
          </w:tcPr>
          <w:p>
            <w:pPr>
              <w:pStyle w:val="55"/>
              <w:ind w:right="129"/>
              <w:jc w:val="center"/>
              <w:rPr>
                <w:sz w:val="24"/>
              </w:rPr>
            </w:pPr>
            <w:r>
              <w:rPr>
                <w:sz w:val="24"/>
              </w:rPr>
              <w:t>序号</w:t>
            </w:r>
          </w:p>
        </w:tc>
        <w:tc>
          <w:tcPr>
            <w:tcW w:w="1470" w:type="dxa"/>
          </w:tcPr>
          <w:p>
            <w:pPr>
              <w:pStyle w:val="55"/>
              <w:spacing w:before="3"/>
              <w:rPr>
                <w:sz w:val="17"/>
              </w:rPr>
            </w:pPr>
          </w:p>
          <w:p>
            <w:pPr>
              <w:pStyle w:val="55"/>
              <w:ind w:left="164" w:right="155"/>
              <w:jc w:val="center"/>
              <w:rPr>
                <w:rFonts w:hint="default" w:eastAsia="宋体"/>
                <w:sz w:val="24"/>
                <w:lang w:val="en-US" w:eastAsia="zh-CN"/>
              </w:rPr>
            </w:pPr>
            <w:r>
              <w:rPr>
                <w:rFonts w:hint="eastAsia" w:eastAsia="宋体" w:cs="Times New Roman"/>
                <w:sz w:val="24"/>
                <w:lang w:val="en-US" w:eastAsia="zh-CN"/>
              </w:rPr>
              <w:t>货物名称</w:t>
            </w:r>
          </w:p>
        </w:tc>
        <w:tc>
          <w:tcPr>
            <w:tcW w:w="4515" w:type="dxa"/>
          </w:tcPr>
          <w:p>
            <w:pPr>
              <w:pStyle w:val="55"/>
              <w:spacing w:before="3"/>
              <w:rPr>
                <w:sz w:val="17"/>
              </w:rPr>
            </w:pPr>
          </w:p>
          <w:p>
            <w:pPr>
              <w:pStyle w:val="55"/>
              <w:jc w:val="center"/>
              <w:rPr>
                <w:sz w:val="24"/>
              </w:rPr>
            </w:pPr>
            <w:r>
              <w:rPr>
                <w:sz w:val="24"/>
              </w:rPr>
              <w:t>技术、规格及要求</w:t>
            </w:r>
          </w:p>
        </w:tc>
        <w:tc>
          <w:tcPr>
            <w:tcW w:w="555" w:type="dxa"/>
            <w:vAlign w:val="center"/>
          </w:tcPr>
          <w:p>
            <w:pPr>
              <w:pStyle w:val="55"/>
              <w:spacing w:before="65" w:line="242" w:lineRule="auto"/>
              <w:ind w:left="176" w:right="166"/>
              <w:jc w:val="center"/>
              <w:rPr>
                <w:sz w:val="24"/>
              </w:rPr>
            </w:pPr>
            <w:r>
              <w:rPr>
                <w:sz w:val="24"/>
              </w:rPr>
              <w:t>数量</w:t>
            </w:r>
          </w:p>
        </w:tc>
        <w:tc>
          <w:tcPr>
            <w:tcW w:w="690" w:type="dxa"/>
            <w:vAlign w:val="center"/>
          </w:tcPr>
          <w:p>
            <w:pPr>
              <w:pStyle w:val="55"/>
              <w:spacing w:before="65" w:line="242" w:lineRule="auto"/>
              <w:ind w:left="186" w:right="176"/>
              <w:jc w:val="center"/>
              <w:rPr>
                <w:sz w:val="24"/>
              </w:rPr>
            </w:pPr>
            <w:r>
              <w:rPr>
                <w:sz w:val="24"/>
              </w:rPr>
              <w:t>单位</w:t>
            </w:r>
          </w:p>
        </w:tc>
        <w:tc>
          <w:tcPr>
            <w:tcW w:w="1033" w:type="dxa"/>
            <w:vAlign w:val="center"/>
          </w:tcPr>
          <w:p>
            <w:pPr>
              <w:pStyle w:val="55"/>
              <w:spacing w:before="65" w:line="242" w:lineRule="auto"/>
              <w:ind w:left="207" w:right="197"/>
              <w:jc w:val="center"/>
              <w:rPr>
                <w:rFonts w:hint="eastAsia" w:eastAsia="宋体"/>
                <w:sz w:val="24"/>
                <w:lang w:val="en-US" w:eastAsia="zh-CN"/>
              </w:rPr>
            </w:pPr>
            <w:r>
              <w:rPr>
                <w:rFonts w:hint="eastAsia"/>
                <w:sz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89" w:type="dxa"/>
            <w:vAlign w:val="center"/>
          </w:tcPr>
          <w:p>
            <w:pPr>
              <w:pStyle w:val="55"/>
              <w:spacing w:before="98"/>
              <w:ind w:left="9"/>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47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eastAsia="宋体" w:cs="Times New Roman"/>
                <w:sz w:val="24"/>
                <w:lang w:val="en-US" w:eastAsia="zh-CN"/>
              </w:rPr>
              <w:t>中文速录机</w:t>
            </w:r>
          </w:p>
        </w:tc>
        <w:tc>
          <w:tcPr>
            <w:tcW w:w="4515" w:type="dxa"/>
            <w:vAlign w:val="center"/>
          </w:tcPr>
          <w:p>
            <w:pPr>
              <w:rPr>
                <w:rFonts w:hint="default"/>
                <w:vertAlign w:val="baseline"/>
                <w:lang w:val="en-US" w:eastAsia="zh-CN"/>
              </w:rPr>
            </w:pPr>
            <w:r>
              <w:rPr>
                <w:rFonts w:hint="default"/>
                <w:vertAlign w:val="baseline"/>
                <w:lang w:val="en-US" w:eastAsia="zh-CN"/>
              </w:rPr>
              <w:t>1.产品规格:长221mm，宽187mm，高42mm</w:t>
            </w:r>
          </w:p>
          <w:p>
            <w:pPr>
              <w:rPr>
                <w:rFonts w:hint="default"/>
                <w:vertAlign w:val="baseline"/>
                <w:lang w:val="en-US" w:eastAsia="zh-CN"/>
              </w:rPr>
            </w:pPr>
            <w:r>
              <w:rPr>
                <w:rFonts w:hint="default"/>
                <w:vertAlign w:val="baseline"/>
                <w:lang w:val="en-US" w:eastAsia="zh-CN"/>
              </w:rPr>
              <w:t>2.产品重量:720g(不包括配件)</w:t>
            </w:r>
          </w:p>
          <w:p>
            <w:pPr>
              <w:rPr>
                <w:rFonts w:hint="default"/>
                <w:vertAlign w:val="baseline"/>
                <w:lang w:val="en-US" w:eastAsia="zh-CN"/>
              </w:rPr>
            </w:pPr>
            <w:r>
              <w:rPr>
                <w:rFonts w:hint="default"/>
                <w:vertAlign w:val="baseline"/>
                <w:lang w:val="en-US" w:eastAsia="zh-CN"/>
              </w:rPr>
              <w:t>3.屏幕设置:触摸屏</w:t>
            </w:r>
          </w:p>
          <w:p>
            <w:pPr>
              <w:rPr>
                <w:rFonts w:hint="default"/>
                <w:vertAlign w:val="baseline"/>
                <w:lang w:val="en-US" w:eastAsia="zh-CN"/>
              </w:rPr>
            </w:pPr>
            <w:r>
              <w:rPr>
                <w:rFonts w:hint="default"/>
                <w:vertAlign w:val="baseline"/>
                <w:lang w:val="en-US" w:eastAsia="zh-CN"/>
              </w:rPr>
              <w:t>4.接口类型:USB接口，USB口无线接收器</w:t>
            </w:r>
          </w:p>
          <w:p>
            <w:pPr>
              <w:rPr>
                <w:rFonts w:hint="default"/>
                <w:vertAlign w:val="baseline"/>
                <w:lang w:val="en-US" w:eastAsia="zh-CN"/>
              </w:rPr>
            </w:pPr>
            <w:r>
              <w:rPr>
                <w:rFonts w:hint="default"/>
                <w:vertAlign w:val="baseline"/>
                <w:lang w:val="en-US" w:eastAsia="zh-CN"/>
              </w:rPr>
              <w:t>5.键盘设计:电子触点式24键位人体工程学键盘</w:t>
            </w:r>
          </w:p>
          <w:p>
            <w:pPr>
              <w:rPr>
                <w:rFonts w:hint="default"/>
                <w:vertAlign w:val="baseline"/>
                <w:lang w:val="en-US" w:eastAsia="zh-CN"/>
              </w:rPr>
            </w:pPr>
            <w:r>
              <w:rPr>
                <w:rFonts w:hint="default"/>
                <w:vertAlign w:val="baseline"/>
                <w:lang w:val="en-US" w:eastAsia="zh-CN"/>
              </w:rPr>
              <w:t>6.弱音设计:红轴键芯独特匠心</w:t>
            </w:r>
          </w:p>
          <w:p>
            <w:pPr>
              <w:rPr>
                <w:rFonts w:hint="default"/>
                <w:vertAlign w:val="baseline"/>
                <w:lang w:val="en-US" w:eastAsia="zh-CN"/>
              </w:rPr>
            </w:pPr>
            <w:r>
              <w:rPr>
                <w:rFonts w:hint="default"/>
                <w:vertAlign w:val="baseline"/>
                <w:lang w:val="en-US" w:eastAsia="zh-CN"/>
              </w:rPr>
              <w:t>7.计算机配置要求:具备标准USB接口，能运行WINDOWS 7以上操作系统的计算机、支持最新YW-steno6.2.3及以上速录软件</w:t>
            </w:r>
          </w:p>
          <w:p>
            <w:pPr>
              <w:rPr>
                <w:rFonts w:hint="default"/>
                <w:vertAlign w:val="baseline"/>
                <w:lang w:val="en-US" w:eastAsia="zh-CN"/>
              </w:rPr>
            </w:pPr>
            <w:r>
              <w:rPr>
                <w:rFonts w:hint="default"/>
                <w:vertAlign w:val="baseline"/>
                <w:lang w:val="en-US" w:eastAsia="zh-CN"/>
              </w:rPr>
              <w:t>8.计算机操作系统:Windows/7/10/11、统信和其他国产操作系统</w:t>
            </w:r>
          </w:p>
          <w:p>
            <w:pPr>
              <w:rPr>
                <w:rFonts w:hint="default"/>
                <w:vertAlign w:val="baseline"/>
                <w:lang w:val="en-US" w:eastAsia="zh-CN"/>
              </w:rPr>
            </w:pPr>
            <w:r>
              <w:rPr>
                <w:rFonts w:hint="default"/>
                <w:vertAlign w:val="baseline"/>
                <w:lang w:val="en-US" w:eastAsia="zh-CN"/>
              </w:rPr>
              <w:t>9.供电方式:USB口供电，内置</w:t>
            </w:r>
            <w:r>
              <w:rPr>
                <w:rFonts w:hint="eastAsia"/>
                <w:vertAlign w:val="baseline"/>
                <w:lang w:val="en-US" w:eastAsia="zh-CN"/>
              </w:rPr>
              <w:t>锂</w:t>
            </w:r>
            <w:r>
              <w:rPr>
                <w:rFonts w:hint="default"/>
                <w:vertAlign w:val="baseline"/>
                <w:lang w:val="en-US" w:eastAsia="zh-CN"/>
              </w:rPr>
              <w:t>电池(1节</w:t>
            </w:r>
            <w:r>
              <w:rPr>
                <w:rFonts w:hint="eastAsia"/>
                <w:vertAlign w:val="baseline"/>
                <w:lang w:val="en-US" w:eastAsia="zh-CN"/>
              </w:rPr>
              <w:t>锂</w:t>
            </w:r>
            <w:r>
              <w:rPr>
                <w:rFonts w:hint="default"/>
                <w:vertAlign w:val="baseline"/>
                <w:lang w:val="en-US" w:eastAsia="zh-CN"/>
              </w:rPr>
              <w:t>电池3</w:t>
            </w:r>
            <w:r>
              <w:rPr>
                <w:rFonts w:hint="eastAsia"/>
                <w:vertAlign w:val="baseline"/>
                <w:lang w:val="en-US" w:eastAsia="zh-CN"/>
              </w:rPr>
              <w:t>.</w:t>
            </w:r>
            <w:r>
              <w:rPr>
                <w:rFonts w:hint="default"/>
                <w:vertAlign w:val="baseline"/>
                <w:lang w:val="en-US" w:eastAsia="zh-CN"/>
              </w:rPr>
              <w:t>6V3350 mAh)</w:t>
            </w:r>
          </w:p>
          <w:p>
            <w:pPr>
              <w:rPr>
                <w:rFonts w:hint="default"/>
                <w:vertAlign w:val="baseline"/>
                <w:lang w:val="en-US" w:eastAsia="zh-CN"/>
              </w:rPr>
            </w:pPr>
            <w:r>
              <w:rPr>
                <w:rFonts w:hint="default"/>
                <w:vertAlign w:val="baseline"/>
                <w:lang w:val="en-US" w:eastAsia="zh-CN"/>
              </w:rPr>
              <w:t>10.存储器:内置式可擦写存储器</w:t>
            </w:r>
          </w:p>
          <w:p>
            <w:pPr>
              <w:rPr>
                <w:rFonts w:hint="default"/>
                <w:vertAlign w:val="baseline"/>
                <w:lang w:val="en-US" w:eastAsia="zh-CN"/>
              </w:rPr>
            </w:pPr>
            <w:r>
              <w:rPr>
                <w:rFonts w:hint="default"/>
                <w:vertAlign w:val="baseline"/>
                <w:lang w:val="en-US" w:eastAsia="zh-CN"/>
              </w:rPr>
              <w:t>11.存储器容量:500K(可存储10万以上汉字)</w:t>
            </w:r>
          </w:p>
          <w:p>
            <w:pPr>
              <w:rPr>
                <w:rFonts w:hint="default"/>
                <w:vertAlign w:val="baseline"/>
                <w:lang w:val="en-US" w:eastAsia="zh-CN"/>
              </w:rPr>
            </w:pPr>
            <w:r>
              <w:rPr>
                <w:rFonts w:hint="default"/>
                <w:vertAlign w:val="baseline"/>
                <w:lang w:val="en-US" w:eastAsia="zh-CN"/>
              </w:rPr>
              <w:t>12.双机操作:支持商务记录双机联控，保证操作人员快捷方便记录</w:t>
            </w:r>
          </w:p>
          <w:p>
            <w:pPr>
              <w:rPr>
                <w:rFonts w:hint="default"/>
                <w:vertAlign w:val="baseline"/>
                <w:lang w:val="en-US" w:eastAsia="zh-CN"/>
              </w:rPr>
            </w:pPr>
            <w:r>
              <w:rPr>
                <w:rFonts w:hint="default"/>
                <w:vertAlign w:val="baseline"/>
                <w:lang w:val="en-US" w:eastAsia="zh-CN"/>
              </w:rPr>
              <w:t>13.特定机身:创新材质，超轻设计</w:t>
            </w:r>
          </w:p>
          <w:p>
            <w:pPr>
              <w:rPr>
                <w:rFonts w:hint="default"/>
                <w:vertAlign w:val="baseline"/>
                <w:lang w:val="en-US" w:eastAsia="zh-CN"/>
              </w:rPr>
            </w:pPr>
            <w:r>
              <w:rPr>
                <w:rFonts w:hint="default"/>
                <w:vertAlign w:val="baseline"/>
                <w:lang w:val="en-US" w:eastAsia="zh-CN"/>
              </w:rPr>
              <w:t>14.</w:t>
            </w:r>
            <w:r>
              <w:rPr>
                <w:rFonts w:hint="eastAsia" w:ascii="微软雅黑" w:hAnsi="微软雅黑" w:eastAsia="微软雅黑" w:cs="微软雅黑"/>
                <w:vertAlign w:val="baseline"/>
                <w:lang w:val="en-US" w:eastAsia="zh-CN"/>
              </w:rPr>
              <w:t>▲</w:t>
            </w:r>
            <w:r>
              <w:rPr>
                <w:rFonts w:hint="default"/>
                <w:vertAlign w:val="baseline"/>
                <w:lang w:val="en-US" w:eastAsia="zh-CN"/>
              </w:rPr>
              <w:t>所投产品支持最新国产操作系统(统信系统)并与法院同步</w:t>
            </w:r>
            <w:r>
              <w:rPr>
                <w:rFonts w:hint="eastAsia"/>
                <w:vertAlign w:val="baseline"/>
                <w:lang w:val="en-US" w:eastAsia="zh-CN"/>
              </w:rPr>
              <w:t>。</w:t>
            </w:r>
            <w:r>
              <w:rPr>
                <w:rFonts w:hint="default"/>
                <w:vertAlign w:val="baseline"/>
                <w:lang w:val="en-US" w:eastAsia="zh-CN"/>
              </w:rPr>
              <w:t>(响应文件中提供所投产品能支持在统信系统环境下运行的承诺函佐证)</w:t>
            </w:r>
          </w:p>
          <w:p>
            <w:pPr>
              <w:pStyle w:val="55"/>
              <w:jc w:val="left"/>
              <w:rPr>
                <w:rFonts w:hint="eastAsia" w:asciiTheme="minorEastAsia" w:hAnsiTheme="minorEastAsia" w:eastAsiaTheme="minorEastAsia" w:cstheme="minorEastAsia"/>
                <w:sz w:val="21"/>
                <w:szCs w:val="21"/>
              </w:rPr>
            </w:pPr>
            <w:r>
              <w:rPr>
                <w:rFonts w:hint="eastAsia" w:ascii="微软雅黑" w:hAnsi="微软雅黑" w:eastAsia="微软雅黑" w:cs="微软雅黑"/>
                <w:vertAlign w:val="baseline"/>
                <w:lang w:val="en-US" w:eastAsia="zh-CN"/>
              </w:rPr>
              <w:t>▲</w:t>
            </w:r>
            <w:r>
              <w:rPr>
                <w:rFonts w:hint="default"/>
                <w:vertAlign w:val="baseline"/>
                <w:lang w:val="en-US" w:eastAsia="zh-CN"/>
              </w:rPr>
              <w:t>支持1+X中文速录职业技能等级证书的考证练习。(提供</w:t>
            </w:r>
            <w:r>
              <w:rPr>
                <w:rFonts w:hint="eastAsia"/>
                <w:vertAlign w:val="baseline"/>
                <w:lang w:val="en-US" w:eastAsia="zh-CN"/>
              </w:rPr>
              <w:t>佐证材料</w:t>
            </w:r>
            <w:r>
              <w:rPr>
                <w:rFonts w:hint="default"/>
                <w:vertAlign w:val="baseline"/>
                <w:lang w:val="en-US" w:eastAsia="zh-CN"/>
              </w:rPr>
              <w:t>)</w:t>
            </w:r>
          </w:p>
        </w:tc>
        <w:tc>
          <w:tcPr>
            <w:tcW w:w="5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69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台</w:t>
            </w:r>
          </w:p>
        </w:tc>
        <w:tc>
          <w:tcPr>
            <w:tcW w:w="1033" w:type="dxa"/>
            <w:vAlign w:val="center"/>
          </w:tcPr>
          <w:p>
            <w:pPr>
              <w:pStyle w:val="55"/>
              <w:jc w:val="center"/>
              <w:rPr>
                <w:rFonts w:hint="eastAsia" w:asciiTheme="minorEastAsia" w:hAnsiTheme="minorEastAsia" w:eastAsiaTheme="minorEastAsia" w:cstheme="minorEastAsia"/>
                <w:sz w:val="21"/>
                <w:szCs w:val="21"/>
                <w:lang w:eastAsia="zh-CN"/>
              </w:rPr>
            </w:pPr>
          </w:p>
        </w:tc>
      </w:tr>
    </w:tbl>
    <w:p>
      <w:pPr>
        <w:rPr>
          <w:rFonts w:hint="eastAsia"/>
        </w:rPr>
      </w:pPr>
    </w:p>
    <w:p>
      <w:pPr>
        <w:bidi w:val="0"/>
        <w:rPr>
          <w:rFonts w:hint="eastAsia"/>
        </w:rPr>
      </w:pPr>
    </w:p>
    <w:p>
      <w:pPr>
        <w:rPr>
          <w:rFonts w:hint="eastAsia"/>
        </w:rPr>
      </w:pPr>
    </w:p>
    <w:p>
      <w:pPr>
        <w:pStyle w:val="8"/>
        <w:rPr>
          <w:rFonts w:hint="eastAsia"/>
        </w:rPr>
      </w:pPr>
    </w:p>
    <w:p>
      <w:pPr>
        <w:rPr>
          <w:rFonts w:hint="eastAsia"/>
        </w:rPr>
      </w:pPr>
    </w:p>
    <w:p>
      <w:pPr>
        <w:pStyle w:val="3"/>
        <w:numPr>
          <w:ilvl w:val="1"/>
          <w:numId w:val="0"/>
        </w:numPr>
        <w:ind w:leftChars="0"/>
        <w:rPr>
          <w:rFonts w:hint="eastAsia"/>
        </w:rPr>
      </w:pPr>
    </w:p>
    <w:p>
      <w:pPr>
        <w:rPr>
          <w:rFonts w:hint="eastAsia"/>
        </w:rPr>
      </w:pPr>
    </w:p>
    <w:p>
      <w:pPr>
        <w:pStyle w:val="3"/>
        <w:numPr>
          <w:ilvl w:val="1"/>
          <w:numId w:val="0"/>
        </w:numPr>
        <w:ind w:leftChars="0"/>
        <w:rPr>
          <w:rFonts w:hint="eastAsia"/>
        </w:rPr>
      </w:pPr>
    </w:p>
    <w:p>
      <w:pPr>
        <w:rPr>
          <w:rFonts w:hint="eastAsia"/>
        </w:rPr>
      </w:pPr>
    </w:p>
    <w:p>
      <w:pPr>
        <w:pStyle w:val="8"/>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8"/>
        <w:rPr>
          <w:rFonts w:hint="eastAsia"/>
        </w:rPr>
      </w:pPr>
    </w:p>
    <w:p>
      <w:pPr>
        <w:jc w:val="both"/>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lang w:eastAsia="zh-CN"/>
        </w:rPr>
      </w:pPr>
      <w:r>
        <w:rPr>
          <w:rFonts w:hint="eastAsia" w:ascii="方正宋黑简体" w:hAnsi="宋体" w:eastAsia="方正宋黑简体" w:cs="黑体"/>
          <w:b/>
          <w:bCs/>
          <w:sz w:val="32"/>
          <w:szCs w:val="32"/>
        </w:rPr>
        <w:t>八、合同格式</w:t>
      </w:r>
      <w:bookmarkEnd w:id="8"/>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询价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noWrap w:val="0"/>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numPr>
          <w:ilvl w:val="0"/>
          <w:numId w:val="7"/>
        </w:num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 xml:space="preserve">   付款方式：本合同以人民币付款</w:t>
      </w:r>
    </w:p>
    <w:p>
      <w:pPr>
        <w:spacing w:line="54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货款支付方式：</w:t>
      </w:r>
      <w:r>
        <w:rPr>
          <w:rFonts w:hint="eastAsia" w:ascii="宋体" w:hAnsi="宋体" w:eastAsia="宋体" w:cs="宋体"/>
          <w:sz w:val="24"/>
          <w:szCs w:val="24"/>
          <w:u w:val="single"/>
          <w:lang w:eastAsia="zh-CN"/>
        </w:rPr>
        <w:t>验收</w:t>
      </w:r>
      <w:r>
        <w:rPr>
          <w:rFonts w:hint="eastAsia" w:ascii="宋体" w:hAnsi="宋体" w:eastAsia="宋体" w:cs="宋体"/>
          <w:sz w:val="24"/>
          <w:szCs w:val="24"/>
          <w:u w:val="single"/>
          <w:lang w:val="en-US" w:eastAsia="zh-CN"/>
        </w:rPr>
        <w:t>合格</w:t>
      </w:r>
      <w:r>
        <w:rPr>
          <w:rFonts w:hint="eastAsia" w:ascii="宋体" w:hAnsi="宋体" w:eastAsia="宋体" w:cs="宋体"/>
          <w:sz w:val="24"/>
          <w:szCs w:val="24"/>
          <w:u w:val="single"/>
          <w:lang w:eastAsia="zh-CN"/>
        </w:rPr>
        <w:t>后一次性付清</w:t>
      </w:r>
      <w:r>
        <w:rPr>
          <w:rFonts w:hint="eastAsia" w:ascii="方正仿宋简体" w:hAnsi="微软雅黑" w:eastAsia="方正仿宋简体" w:cs="宋体"/>
          <w:sz w:val="24"/>
          <w:szCs w:val="24"/>
          <w:u w:val="single"/>
        </w:rPr>
        <w:t>。</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11"/>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u w:val="single"/>
          <w:lang w:val="en-US" w:eastAsia="zh-CN"/>
        </w:rPr>
        <w:t>1</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rPr>
        <w:t>期从</w:t>
      </w:r>
      <w:r>
        <w:rPr>
          <w:rFonts w:hint="eastAsia" w:ascii="方正仿宋简体" w:hAnsi="微软雅黑" w:eastAsia="方正仿宋简体" w:cs="宋体"/>
          <w:sz w:val="24"/>
          <w:szCs w:val="24"/>
          <w:u w:val="single"/>
        </w:rPr>
        <w:t xml:space="preserve"> 验收合格之日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2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24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9" w:name="_Toc466549692"/>
      <w:r>
        <w:rPr>
          <w:rFonts w:hint="eastAsia" w:ascii="方正宋黑简体" w:hAnsi="宋体" w:eastAsia="方正宋黑简体" w:cs="黑体"/>
          <w:b/>
          <w:bCs/>
          <w:sz w:val="48"/>
          <w:szCs w:val="48"/>
        </w:rPr>
        <w:t>第二章  报价文件</w:t>
      </w:r>
      <w:bookmarkEnd w:id="9"/>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项目名称</w:t>
      </w:r>
      <w:r>
        <w:rPr>
          <w:rFonts w:hint="eastAsia" w:ascii="黑体" w:hAnsi="黑体" w:eastAsia="黑体"/>
          <w:sz w:val="44"/>
          <w:szCs w:val="44"/>
          <w:u w:val="single"/>
          <w:lang w:val="en-US" w:eastAsia="zh-CN"/>
        </w:rPr>
        <w:t xml:space="preserve">      </w:t>
      </w:r>
      <w:r>
        <w:rPr>
          <w:rFonts w:hint="eastAsia" w:ascii="黑体" w:hAnsi="黑体" w:eastAsia="黑体"/>
          <w:sz w:val="44"/>
          <w:szCs w:val="44"/>
          <w:u w:val="single"/>
        </w:rPr>
        <w:t xml:space="preserve">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w:t>
      </w:r>
      <w:r>
        <w:rPr>
          <w:rFonts w:hint="eastAsia" w:ascii="宋体" w:hAnsi="宋体" w:cs="Arial"/>
          <w:sz w:val="30"/>
          <w:szCs w:val="30"/>
          <w:lang w:eastAsia="zh-CN"/>
        </w:rPr>
        <w:t>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rPr>
          <w:rFonts w:hint="eastAsia" w:ascii="宋体" w:hAnsi="宋体"/>
          <w:sz w:val="30"/>
          <w:szCs w:val="30"/>
        </w:rPr>
      </w:pPr>
      <w:r>
        <w:rPr>
          <w:rFonts w:hint="eastAsia" w:ascii="宋体" w:hAnsi="宋体"/>
          <w:sz w:val="30"/>
          <w:szCs w:val="30"/>
        </w:rPr>
        <w:t>法定代表人或其委托代理人：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u w:val="single"/>
        </w:rPr>
        <w:t xml:space="preserve"> </w:t>
      </w:r>
      <w:r>
        <w:rPr>
          <w:rFonts w:hint="eastAsia" w:ascii="微软雅黑" w:hAnsi="微软雅黑" w:eastAsia="微软雅黑"/>
          <w:sz w:val="24"/>
          <w:szCs w:val="24"/>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0"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0"/>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1" w:name="_Toc466549694"/>
      <w:r>
        <w:rPr>
          <w:rFonts w:hint="eastAsia" w:ascii="方正宋黑简体" w:hAnsi="宋体" w:eastAsia="方正宋黑简体" w:cs="黑体"/>
          <w:b/>
          <w:bCs/>
          <w:sz w:val="32"/>
          <w:szCs w:val="32"/>
        </w:rPr>
        <w:t>二、报价函格式</w:t>
      </w:r>
      <w:bookmarkEnd w:id="11"/>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w:t>
      </w:r>
      <w:r>
        <w:rPr>
          <w:rFonts w:hint="eastAsia" w:ascii="仿宋" w:hAnsi="仿宋" w:eastAsia="仿宋" w:cs="Arial"/>
          <w:sz w:val="30"/>
          <w:szCs w:val="30"/>
          <w:lang w:val="en-US" w:eastAsia="zh-CN"/>
        </w:rPr>
        <w:t>需求</w:t>
      </w:r>
      <w:r>
        <w:rPr>
          <w:rFonts w:hint="eastAsia" w:ascii="仿宋" w:hAnsi="仿宋" w:eastAsia="仿宋" w:cs="Arial"/>
          <w:sz w:val="30"/>
          <w:szCs w:val="30"/>
          <w:lang w:eastAsia="zh-CN"/>
        </w:rPr>
        <w:t>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1、按询价文件规定提供交付的货物（包括安装调试售后服务等工作）投标</w:t>
      </w:r>
      <w:r>
        <w:rPr>
          <w:rFonts w:hint="eastAsia" w:ascii="仿宋" w:hAnsi="仿宋" w:eastAsia="仿宋" w:cs="Arial"/>
          <w:sz w:val="30"/>
          <w:szCs w:val="30"/>
          <w:lang w:val="en-US" w:eastAsia="zh-CN"/>
        </w:rPr>
        <w:t>报</w:t>
      </w:r>
      <w:r>
        <w:rPr>
          <w:rFonts w:hint="eastAsia" w:ascii="仿宋" w:hAnsi="仿宋" w:eastAsia="仿宋" w:cs="Arial"/>
          <w:sz w:val="30"/>
          <w:szCs w:val="30"/>
        </w:rPr>
        <w:t>价为（大写）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2" w:name="_Toc466549695"/>
      <w:r>
        <w:rPr>
          <w:rFonts w:hint="eastAsia" w:ascii="方正宋黑简体" w:hAnsi="宋体" w:eastAsia="方正宋黑简体" w:cs="黑体"/>
          <w:b/>
          <w:bCs/>
          <w:sz w:val="30"/>
          <w:szCs w:val="30"/>
        </w:rPr>
        <w:t>三、投标人诚信承诺书</w:t>
      </w:r>
      <w:bookmarkEnd w:id="12"/>
    </w:p>
    <w:p>
      <w:pPr>
        <w:autoSpaceDE w:val="0"/>
        <w:autoSpaceDN w:val="0"/>
        <w:adjustRightInd w:val="0"/>
        <w:spacing w:line="360" w:lineRule="exact"/>
        <w:jc w:val="left"/>
        <w:rPr>
          <w:rFonts w:hint="eastAsia" w:ascii="宋体" w:hAnsi="宋体"/>
          <w:color w:val="000000"/>
          <w:sz w:val="28"/>
          <w:szCs w:val="28"/>
        </w:rPr>
      </w:pPr>
      <w:bookmarkStart w:id="13" w:name="_Toc466549696"/>
      <w:r>
        <w:rPr>
          <w:rFonts w:hint="eastAsia" w:ascii="宋体" w:hAnsi="宋体"/>
          <w:color w:val="000000"/>
          <w:sz w:val="28"/>
          <w:szCs w:val="28"/>
        </w:rPr>
        <w:t>我单位参加本次采购活动，郑重承诺如下：</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2．本次投标绝无资质挂靠、串标、围标情形。否则，同意取消投标和中标候选人资格。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3．本次招标如我方为中标人，除不可抗力外，决不因任何其它原因放弃中标候选人资格。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eastAsia="宋体"/>
          <w:color w:val="000000"/>
          <w:sz w:val="28"/>
          <w:szCs w:val="28"/>
          <w:lang w:eastAsia="zh-CN"/>
        </w:rPr>
      </w:pPr>
      <w:r>
        <w:rPr>
          <w:rFonts w:hint="eastAsia" w:ascii="宋体" w:hAnsi="宋体"/>
          <w:color w:val="000000"/>
          <w:sz w:val="28"/>
          <w:szCs w:val="28"/>
        </w:rPr>
        <w:t>(5）供应商被政府采购监管部门列入政府采购严重违法失信行为记录名单的。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48"/>
        <w:spacing w:line="360" w:lineRule="exact"/>
        <w:rPr>
          <w:rFonts w:hint="eastAsia" w:ascii="宋体" w:hAnsi="宋体"/>
          <w:color w:val="000000"/>
          <w:kern w:val="2"/>
          <w:sz w:val="28"/>
          <w:szCs w:val="28"/>
        </w:rPr>
      </w:pPr>
    </w:p>
    <w:p>
      <w:pPr>
        <w:pStyle w:val="48"/>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13"/>
    </w:p>
    <w:p>
      <w:pPr>
        <w:rPr>
          <w:rFonts w:hint="eastAsia" w:ascii="宋体" w:hAnsi="宋体"/>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noWrap w:val="0"/>
            <w:vAlign w:val="center"/>
          </w:tcPr>
          <w:p>
            <w:pPr>
              <w:spacing w:line="520" w:lineRule="exact"/>
              <w:ind w:firstLine="307" w:firstLineChars="128"/>
              <w:jc w:val="center"/>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货物名称</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noWrap w:val="0"/>
            <w:vAlign w:val="center"/>
          </w:tcPr>
          <w:p>
            <w:pPr>
              <w:spacing w:line="520" w:lineRule="exact"/>
              <w:rPr>
                <w:rFonts w:hint="eastAsia" w:ascii="微软雅黑" w:hAnsi="微软雅黑" w:eastAsia="微软雅黑"/>
                <w:sz w:val="24"/>
                <w:szCs w:val="24"/>
                <w:lang w:eastAsia="zh-CN"/>
              </w:rPr>
            </w:pPr>
            <w:r>
              <w:rPr>
                <w:rFonts w:hint="eastAsia" w:ascii="微软雅黑" w:hAnsi="微软雅黑" w:eastAsia="微软雅黑"/>
                <w:sz w:val="24"/>
                <w:szCs w:val="24"/>
              </w:rPr>
              <w:t>品牌</w:t>
            </w:r>
            <w:r>
              <w:rPr>
                <w:rFonts w:hint="eastAsia" w:ascii="微软雅黑" w:hAnsi="微软雅黑" w:eastAsia="微软雅黑"/>
                <w:sz w:val="24"/>
                <w:szCs w:val="24"/>
                <w:lang w:eastAsia="zh-CN"/>
              </w:rPr>
              <w:t>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top"/>
          </w:tcPr>
          <w:p>
            <w:pPr>
              <w:spacing w:line="520" w:lineRule="exact"/>
              <w:ind w:firstLine="307" w:firstLineChars="128"/>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w:t>
            </w:r>
          </w:p>
        </w:tc>
        <w:tc>
          <w:tcPr>
            <w:tcW w:w="4037" w:type="dxa"/>
            <w:noWrap w:val="0"/>
            <w:vAlign w:val="center"/>
          </w:tcPr>
          <w:p>
            <w:pPr>
              <w:tabs>
                <w:tab w:val="left" w:pos="1106"/>
              </w:tabs>
              <w:spacing w:line="520" w:lineRule="exact"/>
              <w:jc w:val="left"/>
              <w:rPr>
                <w:rFonts w:hint="eastAsia" w:ascii="微软雅黑" w:hAnsi="微软雅黑" w:eastAsia="微软雅黑"/>
                <w:sz w:val="24"/>
                <w:szCs w:val="24"/>
                <w:lang w:eastAsia="zh-CN"/>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sectPr>
          <w:pgSz w:w="11906" w:h="16838"/>
          <w:pgMar w:top="1440" w:right="1803" w:bottom="1440" w:left="1803" w:header="851" w:footer="992" w:gutter="0"/>
          <w:cols w:space="720" w:num="1"/>
          <w:rtlGutter w:val="0"/>
          <w:docGrid w:type="lines" w:linePitch="319" w:charSpace="0"/>
        </w:sectPr>
      </w:pPr>
    </w:p>
    <w:p>
      <w:pPr>
        <w:spacing w:line="420" w:lineRule="exact"/>
        <w:jc w:val="center"/>
        <w:outlineLvl w:val="1"/>
        <w:rPr>
          <w:rFonts w:hint="eastAsia" w:ascii="方正宋黑简体" w:hAnsi="宋体" w:eastAsia="方正宋黑简体" w:cs="黑体"/>
          <w:b/>
          <w:bCs/>
          <w:sz w:val="32"/>
          <w:szCs w:val="32"/>
        </w:rPr>
      </w:pPr>
      <w:bookmarkStart w:id="14" w:name="_Toc466549697"/>
      <w:bookmarkStart w:id="15" w:name="_Toc516240339"/>
      <w:bookmarkStart w:id="16" w:name="_Toc516240286"/>
      <w:r>
        <w:rPr>
          <w:rFonts w:hint="eastAsia" w:ascii="方正宋黑简体" w:hAnsi="宋体" w:eastAsia="方正宋黑简体" w:cs="黑体"/>
          <w:b/>
          <w:bCs/>
          <w:sz w:val="32"/>
          <w:szCs w:val="32"/>
        </w:rPr>
        <w:t>五、响应表</w:t>
      </w:r>
      <w:bookmarkEnd w:id="14"/>
      <w:bookmarkEnd w:id="15"/>
      <w:bookmarkEnd w:id="16"/>
    </w:p>
    <w:p>
      <w:pPr>
        <w:pStyle w:val="8"/>
        <w:rPr>
          <w:rFonts w:hint="eastAsia" w:ascii="宋体" w:hAnsi="宋体" w:eastAsia="宋体" w:cs="宋体"/>
          <w:b/>
          <w:bCs/>
          <w:sz w:val="28"/>
          <w:szCs w:val="28"/>
          <w:lang w:val="en-US" w:eastAsia="zh-CN"/>
        </w:rPr>
      </w:pPr>
      <w:bookmarkStart w:id="17" w:name="_Toc466549698"/>
      <w:r>
        <w:rPr>
          <w:rFonts w:hint="eastAsia" w:ascii="宋体" w:hAnsi="宋体" w:eastAsia="宋体" w:cs="宋体"/>
          <w:b/>
          <w:bCs/>
          <w:sz w:val="28"/>
          <w:szCs w:val="28"/>
          <w:lang w:val="en-US" w:eastAsia="zh-CN"/>
        </w:rPr>
        <w:t>5.1商务响应表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35"/>
        <w:gridCol w:w="4228"/>
        <w:gridCol w:w="116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条款名称</w:t>
            </w:r>
          </w:p>
        </w:tc>
        <w:tc>
          <w:tcPr>
            <w:tcW w:w="4228"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1167"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供应商承诺</w:t>
            </w:r>
          </w:p>
        </w:tc>
        <w:tc>
          <w:tcPr>
            <w:tcW w:w="1436"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偏离说明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付款方式</w:t>
            </w:r>
          </w:p>
        </w:tc>
        <w:tc>
          <w:tcPr>
            <w:tcW w:w="4228" w:type="dxa"/>
            <w:noWrap w:val="0"/>
            <w:vAlign w:val="center"/>
          </w:tcPr>
          <w:p>
            <w:pPr>
              <w:spacing w:before="27" w:line="360" w:lineRule="auto"/>
              <w:rPr>
                <w:rFonts w:hint="eastAsia" w:ascii="宋体" w:hAnsi="宋体" w:eastAsia="宋体" w:cs="宋体"/>
                <w:color w:val="000000"/>
                <w:kern w:val="0"/>
                <w:sz w:val="21"/>
                <w:szCs w:val="21"/>
                <w:lang w:val="en-US" w:eastAsia="zh-CN" w:bidi="ar"/>
              </w:rPr>
            </w:pPr>
            <w:r>
              <w:rPr>
                <w:rFonts w:ascii="宋体" w:hAnsi="宋体" w:cs="宋体"/>
                <w:sz w:val="21"/>
                <w:szCs w:val="21"/>
              </w:rPr>
              <w:t>验收</w:t>
            </w:r>
            <w:r>
              <w:rPr>
                <w:rFonts w:hint="eastAsia" w:ascii="宋体" w:hAnsi="宋体" w:cs="宋体"/>
                <w:sz w:val="21"/>
                <w:szCs w:val="21"/>
                <w:lang w:val="en-US" w:eastAsia="zh-CN"/>
              </w:rPr>
              <w:t>合格</w:t>
            </w:r>
            <w:r>
              <w:rPr>
                <w:rFonts w:ascii="宋体" w:hAnsi="宋体" w:cs="宋体"/>
                <w:sz w:val="21"/>
                <w:szCs w:val="21"/>
              </w:rPr>
              <w:t>后一次性付清</w:t>
            </w:r>
          </w:p>
        </w:tc>
        <w:tc>
          <w:tcPr>
            <w:tcW w:w="1167" w:type="dxa"/>
            <w:noWrap w:val="0"/>
            <w:vAlign w:val="center"/>
          </w:tcPr>
          <w:p>
            <w:pPr>
              <w:pStyle w:val="8"/>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供货及安装地点</w:t>
            </w:r>
          </w:p>
        </w:tc>
        <w:tc>
          <w:tcPr>
            <w:tcW w:w="4228" w:type="dxa"/>
            <w:noWrap w:val="0"/>
            <w:vAlign w:val="center"/>
          </w:tcPr>
          <w:p>
            <w:pPr>
              <w:spacing w:line="360" w:lineRule="auto"/>
              <w:jc w:val="both"/>
              <w:rPr>
                <w:rFonts w:hint="eastAsia" w:ascii="宋体" w:hAnsi="宋体" w:eastAsia="宋体" w:cs="宋体"/>
                <w:color w:val="000000"/>
                <w:kern w:val="0"/>
                <w:sz w:val="21"/>
                <w:szCs w:val="21"/>
                <w:lang w:val="en-US" w:eastAsia="zh-CN" w:bidi="ar"/>
              </w:rPr>
            </w:pPr>
            <w:r>
              <w:rPr>
                <w:rFonts w:ascii="宋体" w:hAnsi="宋体" w:eastAsia="宋体" w:cs="宋体"/>
                <w:sz w:val="21"/>
                <w:szCs w:val="21"/>
                <w:lang w:eastAsia="en-US"/>
              </w:rPr>
              <w:t>阜阳</w:t>
            </w:r>
            <w:r>
              <w:rPr>
                <w:rFonts w:hint="eastAsia" w:ascii="宋体" w:hAnsi="宋体" w:eastAsia="宋体" w:cs="宋体"/>
                <w:sz w:val="21"/>
                <w:szCs w:val="21"/>
                <w:lang w:val="en-US" w:eastAsia="zh-CN"/>
              </w:rPr>
              <w:t>工业经济学校</w:t>
            </w:r>
          </w:p>
        </w:tc>
        <w:tc>
          <w:tcPr>
            <w:tcW w:w="1167" w:type="dxa"/>
            <w:noWrap w:val="0"/>
            <w:vAlign w:val="center"/>
          </w:tcPr>
          <w:p>
            <w:pPr>
              <w:pStyle w:val="8"/>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供货期限</w:t>
            </w:r>
          </w:p>
        </w:tc>
        <w:tc>
          <w:tcPr>
            <w:tcW w:w="4228" w:type="dxa"/>
            <w:noWrap w:val="0"/>
            <w:vAlign w:val="center"/>
          </w:tcPr>
          <w:p>
            <w:pPr>
              <w:pStyle w:val="8"/>
              <w:jc w:val="both"/>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合同签订后10日内完成供货</w:t>
            </w:r>
          </w:p>
        </w:tc>
        <w:tc>
          <w:tcPr>
            <w:tcW w:w="1167" w:type="dxa"/>
            <w:noWrap w:val="0"/>
            <w:vAlign w:val="center"/>
          </w:tcPr>
          <w:p>
            <w:pPr>
              <w:pStyle w:val="8"/>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235"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质保期</w:t>
            </w:r>
          </w:p>
        </w:tc>
        <w:tc>
          <w:tcPr>
            <w:tcW w:w="4228" w:type="dxa"/>
            <w:noWrap w:val="0"/>
            <w:vAlign w:val="center"/>
          </w:tcPr>
          <w:p>
            <w:pPr>
              <w:pStyle w:val="8"/>
              <w:jc w:val="both"/>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三年</w:t>
            </w:r>
          </w:p>
        </w:tc>
        <w:tc>
          <w:tcPr>
            <w:tcW w:w="1167" w:type="dxa"/>
            <w:noWrap w:val="0"/>
            <w:vAlign w:val="center"/>
          </w:tcPr>
          <w:p>
            <w:pPr>
              <w:pStyle w:val="8"/>
              <w:jc w:val="center"/>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center"/>
              <w:rPr>
                <w:rFonts w:hint="eastAsia" w:ascii="宋体" w:hAnsi="宋体" w:eastAsia="宋体" w:cs="宋体"/>
                <w:color w:val="000000"/>
                <w:kern w:val="0"/>
                <w:sz w:val="21"/>
                <w:szCs w:val="21"/>
                <w:lang w:val="en-US" w:eastAsia="zh-CN" w:bidi="ar"/>
              </w:rPr>
            </w:pPr>
          </w:p>
        </w:tc>
      </w:tr>
    </w:tbl>
    <w:p>
      <w:pPr>
        <w:pStyle w:val="8"/>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5.2技术响应表 </w:t>
      </w:r>
    </w:p>
    <w:tbl>
      <w:tblPr>
        <w:tblStyle w:val="16"/>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641"/>
        <w:gridCol w:w="1867"/>
        <w:gridCol w:w="732"/>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560" w:type="dxa"/>
            <w:vMerge w:val="restart"/>
            <w:noWrap w:val="0"/>
            <w:vAlign w:val="center"/>
          </w:tcPr>
          <w:p>
            <w:pPr>
              <w:jc w:val="center"/>
              <w:rPr>
                <w:rFonts w:hint="default" w:ascii="宋体" w:hAnsi="宋体" w:eastAsia="宋体" w:cs="宋体"/>
                <w:color w:val="000000"/>
                <w:kern w:val="0"/>
                <w:sz w:val="21"/>
                <w:szCs w:val="21"/>
                <w:lang w:val="en-US" w:eastAsia="zh-CN" w:bidi="ar"/>
              </w:rPr>
            </w:pPr>
            <w:r>
              <w:rPr>
                <w:rFonts w:hint="eastAsia"/>
                <w:sz w:val="24"/>
                <w:lang w:val="en-US" w:eastAsia="zh-CN"/>
              </w:rPr>
              <w:t>货物名称</w:t>
            </w:r>
          </w:p>
        </w:tc>
        <w:tc>
          <w:tcPr>
            <w:tcW w:w="2981"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2599"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供应商填写</w:t>
            </w:r>
          </w:p>
        </w:tc>
        <w:tc>
          <w:tcPr>
            <w:tcW w:w="900" w:type="dxa"/>
            <w:vMerge w:val="restart"/>
            <w:noWrap w:val="0"/>
            <w:vAlign w:val="center"/>
          </w:tcPr>
          <w:p>
            <w:pPr>
              <w:jc w:val="center"/>
              <w:rPr>
                <w:rFonts w:ascii="仿宋" w:hAnsi="仿宋" w:eastAsia="仿宋" w:cs="Arial"/>
                <w:sz w:val="30"/>
                <w:szCs w:val="30"/>
              </w:rPr>
            </w:pPr>
            <w:r>
              <w:rPr>
                <w:rFonts w:hint="eastAsia" w:ascii="宋体" w:hAnsi="宋体" w:eastAsia="宋体" w:cs="宋体"/>
                <w:color w:val="000000"/>
                <w:kern w:val="0"/>
                <w:sz w:val="21"/>
                <w:szCs w:val="21"/>
                <w:lang w:val="en-US" w:eastAsia="zh-CN" w:bidi="ar"/>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top"/>
          </w:tcPr>
          <w:p>
            <w:pPr>
              <w:rPr>
                <w:rFonts w:hint="eastAsia" w:ascii="宋体" w:hAnsi="宋体" w:eastAsia="宋体" w:cs="宋体"/>
                <w:color w:val="000000"/>
                <w:kern w:val="0"/>
                <w:sz w:val="21"/>
                <w:szCs w:val="21"/>
                <w:lang w:val="en-US" w:eastAsia="zh-CN" w:bidi="ar"/>
              </w:rPr>
            </w:pPr>
          </w:p>
        </w:tc>
        <w:tc>
          <w:tcPr>
            <w:tcW w:w="1560" w:type="dxa"/>
            <w:vMerge w:val="continue"/>
            <w:noWrap w:val="0"/>
            <w:vAlign w:val="top"/>
          </w:tcPr>
          <w:p>
            <w:pPr>
              <w:rPr>
                <w:rFonts w:hint="eastAsia" w:ascii="宋体" w:hAnsi="宋体" w:eastAsia="宋体" w:cs="宋体"/>
                <w:color w:val="000000"/>
                <w:kern w:val="0"/>
                <w:sz w:val="21"/>
                <w:szCs w:val="21"/>
                <w:lang w:val="en-US" w:eastAsia="zh-CN" w:bidi="ar"/>
              </w:rPr>
            </w:pPr>
          </w:p>
        </w:tc>
        <w:tc>
          <w:tcPr>
            <w:tcW w:w="23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641"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1867"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732"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900" w:type="dxa"/>
            <w:vMerge w:val="continue"/>
            <w:noWrap w:val="0"/>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hint="eastAsia" w:ascii="仿宋" w:hAnsi="仿宋" w:eastAsia="仿宋" w:cs="Arial"/>
                <w:sz w:val="30"/>
                <w:szCs w:val="30"/>
                <w:lang w:val="en-US" w:eastAsia="zh-CN"/>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bl>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注意：1、供应商必须将自己所投产品或服务真实、准确地填入“供应商填写”栏中。</w:t>
      </w:r>
    </w:p>
    <w:p>
      <w:pPr>
        <w:ind w:firstLine="840" w:firstLineChars="400"/>
        <w:jc w:val="left"/>
        <w:rPr>
          <w:rFonts w:hint="eastAsia" w:ascii="方正宋黑简体" w:hAnsi="宋体" w:eastAsia="方正宋黑简体" w:cs="黑体"/>
          <w:b/>
          <w:bCs/>
          <w:sz w:val="36"/>
          <w:szCs w:val="36"/>
        </w:rPr>
      </w:pPr>
      <w:r>
        <w:rPr>
          <w:rFonts w:hint="eastAsia" w:ascii="宋体" w:hAnsi="宋体" w:eastAsia="宋体" w:cs="宋体"/>
          <w:color w:val="000000"/>
          <w:kern w:val="0"/>
          <w:sz w:val="21"/>
          <w:szCs w:val="21"/>
          <w:lang w:val="en-US" w:eastAsia="zh-CN" w:bidi="ar"/>
        </w:rPr>
        <w:t>2、供应商必须根据自己所投产品与“询价文件要求”的差异情况，实事求是地填写“响应情况”（优于、满足、不满足），并将这些差异内容用加粗的字体显示出来。</w:t>
      </w: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rPr>
      </w:pPr>
      <w:r>
        <w:rPr>
          <w:rFonts w:hint="eastAsia" w:ascii="方正宋黑简体" w:hAnsi="宋体" w:eastAsia="方正宋黑简体" w:cs="黑体"/>
          <w:b/>
          <w:bCs/>
          <w:sz w:val="36"/>
          <w:szCs w:val="36"/>
          <w:lang w:val="en-US" w:eastAsia="zh-CN"/>
        </w:rPr>
        <w:t>六</w:t>
      </w:r>
      <w:r>
        <w:rPr>
          <w:rFonts w:hint="eastAsia" w:ascii="方正宋黑简体" w:hAnsi="宋体" w:eastAsia="方正宋黑简体" w:cs="黑体"/>
          <w:b/>
          <w:bCs/>
          <w:sz w:val="36"/>
          <w:szCs w:val="36"/>
        </w:rPr>
        <w:t>、资格证明等材料</w:t>
      </w:r>
      <w:bookmarkEnd w:id="17"/>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rPr>
      </w:pPr>
    </w:p>
    <w:p>
      <w:pPr>
        <w:pStyle w:val="15"/>
        <w:numPr>
          <w:ilvl w:val="0"/>
          <w:numId w:val="0"/>
        </w:numPr>
        <w:ind w:right="0" w:rightChars="0" w:firstLine="1440" w:firstLineChars="400"/>
        <w:jc w:val="both"/>
        <w:rPr>
          <w:rFonts w:hint="eastAsia" w:ascii="黑体" w:hAnsi="黑体" w:eastAsia="黑体" w:cs="黑体"/>
          <w:color w:val="000000"/>
          <w:sz w:val="36"/>
          <w:szCs w:val="36"/>
        </w:rPr>
      </w:pPr>
      <w:r>
        <w:rPr>
          <w:rFonts w:hint="eastAsia" w:ascii="黑体" w:hAnsi="黑体" w:eastAsia="黑体" w:cs="黑体"/>
          <w:color w:val="000000"/>
          <w:sz w:val="36"/>
          <w:szCs w:val="36"/>
          <w:lang w:val="en-US" w:eastAsia="zh-CN"/>
        </w:rPr>
        <w:t>七、</w:t>
      </w: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rFonts w:hint="default"/>
        <w:lang w:val="zh-CN"/>
      </w:rPr>
      <w:t>13</w:t>
    </w:r>
    <w:r>
      <w:fldChar w:fldCharType="end"/>
    </w:r>
  </w:p>
  <w:p>
    <w:pPr>
      <w:pStyle w:val="1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22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CB61E517"/>
    <w:multiLevelType w:val="singleLevel"/>
    <w:tmpl w:val="CB61E517"/>
    <w:lvl w:ilvl="0" w:tentative="0">
      <w:start w:val="2"/>
      <w:numFmt w:val="chineseCounting"/>
      <w:suff w:val="nothing"/>
      <w:lvlText w:val="%1、"/>
      <w:lvlJc w:val="left"/>
      <w:rPr>
        <w:rFonts w:hint="eastAsia"/>
      </w:rPr>
    </w:lvl>
  </w:abstractNum>
  <w:abstractNum w:abstractNumId="3">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5"/>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243457AD"/>
    <w:multiLevelType w:val="singleLevel"/>
    <w:tmpl w:val="243457AD"/>
    <w:lvl w:ilvl="0" w:tentative="0">
      <w:start w:val="5"/>
      <w:numFmt w:val="chineseCounting"/>
      <w:suff w:val="space"/>
      <w:lvlText w:val="第%1条"/>
      <w:lvlJc w:val="left"/>
      <w:rPr>
        <w:rFonts w:hint="eastAsia"/>
      </w:rPr>
    </w:lvl>
  </w:abstractNum>
  <w:abstractNum w:abstractNumId="6">
    <w:nsid w:val="78760E7A"/>
    <w:multiLevelType w:val="multilevel"/>
    <w:tmpl w:val="78760E7A"/>
    <w:lvl w:ilvl="0" w:tentative="0">
      <w:start w:val="1"/>
      <w:numFmt w:val="decimal"/>
      <w:pStyle w:val="2"/>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3"/>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7">
    <w:nsid w:val="79D27C3C"/>
    <w:multiLevelType w:val="singleLevel"/>
    <w:tmpl w:val="79D27C3C"/>
    <w:lvl w:ilvl="0" w:tentative="0">
      <w:start w:val="1"/>
      <w:numFmt w:val="decimal"/>
      <w:suff w:val="nothing"/>
      <w:lvlText w:val="%1、"/>
      <w:lvlJc w:val="left"/>
    </w:lvl>
  </w:abstractNum>
  <w:num w:numId="1">
    <w:abstractNumId w:val="6"/>
  </w:num>
  <w:num w:numId="2">
    <w:abstractNumId w:val="4"/>
  </w:num>
  <w:num w:numId="3">
    <w:abstractNumId w:val="3"/>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52"/>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7"/>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008879F2"/>
    <w:rsid w:val="000B7093"/>
    <w:rsid w:val="00473885"/>
    <w:rsid w:val="004D3C2B"/>
    <w:rsid w:val="008879F2"/>
    <w:rsid w:val="009A3902"/>
    <w:rsid w:val="00CF0894"/>
    <w:rsid w:val="01286B2B"/>
    <w:rsid w:val="01313376"/>
    <w:rsid w:val="01521A0B"/>
    <w:rsid w:val="015D6BBE"/>
    <w:rsid w:val="01805D2A"/>
    <w:rsid w:val="01C17503"/>
    <w:rsid w:val="02006745"/>
    <w:rsid w:val="02203249"/>
    <w:rsid w:val="022C2317"/>
    <w:rsid w:val="02CC2A87"/>
    <w:rsid w:val="03743ABD"/>
    <w:rsid w:val="03AD1F60"/>
    <w:rsid w:val="04283D41"/>
    <w:rsid w:val="04464E32"/>
    <w:rsid w:val="044F50C1"/>
    <w:rsid w:val="04886936"/>
    <w:rsid w:val="049E73E8"/>
    <w:rsid w:val="04C736FA"/>
    <w:rsid w:val="04D83350"/>
    <w:rsid w:val="04EC3BC7"/>
    <w:rsid w:val="05210290"/>
    <w:rsid w:val="054056BC"/>
    <w:rsid w:val="05EC3F1E"/>
    <w:rsid w:val="06036FAD"/>
    <w:rsid w:val="06422C2D"/>
    <w:rsid w:val="06621F4A"/>
    <w:rsid w:val="06707E74"/>
    <w:rsid w:val="06931C0F"/>
    <w:rsid w:val="06D96876"/>
    <w:rsid w:val="073E1FAD"/>
    <w:rsid w:val="07452D9A"/>
    <w:rsid w:val="076138C9"/>
    <w:rsid w:val="077223CC"/>
    <w:rsid w:val="077B6E09"/>
    <w:rsid w:val="08A95ADC"/>
    <w:rsid w:val="08D14FB3"/>
    <w:rsid w:val="08DF161A"/>
    <w:rsid w:val="090474CA"/>
    <w:rsid w:val="09DD0B86"/>
    <w:rsid w:val="0A41243D"/>
    <w:rsid w:val="0A69396A"/>
    <w:rsid w:val="0AA31393"/>
    <w:rsid w:val="0AE71698"/>
    <w:rsid w:val="0B04497B"/>
    <w:rsid w:val="0B1E3309"/>
    <w:rsid w:val="0B296358"/>
    <w:rsid w:val="0B75654E"/>
    <w:rsid w:val="0B812B24"/>
    <w:rsid w:val="0B834A4C"/>
    <w:rsid w:val="0B8A6B4C"/>
    <w:rsid w:val="0BAA5AC6"/>
    <w:rsid w:val="0BDD5FD8"/>
    <w:rsid w:val="0C0E48C0"/>
    <w:rsid w:val="0C523F46"/>
    <w:rsid w:val="0C60797D"/>
    <w:rsid w:val="0D056FE1"/>
    <w:rsid w:val="0D8869BF"/>
    <w:rsid w:val="0D8963C6"/>
    <w:rsid w:val="0DDF37E8"/>
    <w:rsid w:val="0DF1622F"/>
    <w:rsid w:val="0E1B2B7A"/>
    <w:rsid w:val="0EF1740E"/>
    <w:rsid w:val="0F674C19"/>
    <w:rsid w:val="0FAE53AF"/>
    <w:rsid w:val="10444943"/>
    <w:rsid w:val="105B2068"/>
    <w:rsid w:val="10996853"/>
    <w:rsid w:val="10F3192B"/>
    <w:rsid w:val="11346136"/>
    <w:rsid w:val="11636F76"/>
    <w:rsid w:val="119E6098"/>
    <w:rsid w:val="11C15BE4"/>
    <w:rsid w:val="12323219"/>
    <w:rsid w:val="13394891"/>
    <w:rsid w:val="135E0A08"/>
    <w:rsid w:val="13737785"/>
    <w:rsid w:val="14271296"/>
    <w:rsid w:val="148A7C64"/>
    <w:rsid w:val="150B3540"/>
    <w:rsid w:val="153B0F5F"/>
    <w:rsid w:val="155E0A73"/>
    <w:rsid w:val="156E5053"/>
    <w:rsid w:val="16033F5F"/>
    <w:rsid w:val="160D36B3"/>
    <w:rsid w:val="16AE4D35"/>
    <w:rsid w:val="16CF3420"/>
    <w:rsid w:val="16D34400"/>
    <w:rsid w:val="1774419E"/>
    <w:rsid w:val="18011A04"/>
    <w:rsid w:val="184661A4"/>
    <w:rsid w:val="186E01E8"/>
    <w:rsid w:val="18C1155E"/>
    <w:rsid w:val="19092317"/>
    <w:rsid w:val="192A52EE"/>
    <w:rsid w:val="193D2E94"/>
    <w:rsid w:val="199C6BEB"/>
    <w:rsid w:val="19C64A71"/>
    <w:rsid w:val="1A056F16"/>
    <w:rsid w:val="1A1475A7"/>
    <w:rsid w:val="1A433C74"/>
    <w:rsid w:val="1A4728B9"/>
    <w:rsid w:val="1B59696D"/>
    <w:rsid w:val="1B79759A"/>
    <w:rsid w:val="1C1C55F5"/>
    <w:rsid w:val="1CE64A24"/>
    <w:rsid w:val="1D00341D"/>
    <w:rsid w:val="1D240295"/>
    <w:rsid w:val="1D355DD2"/>
    <w:rsid w:val="1D383311"/>
    <w:rsid w:val="1DF0621A"/>
    <w:rsid w:val="1DF7718A"/>
    <w:rsid w:val="1E085E44"/>
    <w:rsid w:val="1E33060E"/>
    <w:rsid w:val="1E3F54B5"/>
    <w:rsid w:val="1E8623DD"/>
    <w:rsid w:val="1E90116F"/>
    <w:rsid w:val="1EC116BA"/>
    <w:rsid w:val="1EDA6E4E"/>
    <w:rsid w:val="1F2A39F0"/>
    <w:rsid w:val="1F377859"/>
    <w:rsid w:val="1F4F10CC"/>
    <w:rsid w:val="1F501C38"/>
    <w:rsid w:val="1F7149E1"/>
    <w:rsid w:val="1F7E3949"/>
    <w:rsid w:val="20436C35"/>
    <w:rsid w:val="2061042B"/>
    <w:rsid w:val="20866008"/>
    <w:rsid w:val="20C27929"/>
    <w:rsid w:val="21D30048"/>
    <w:rsid w:val="220540CF"/>
    <w:rsid w:val="22656FC7"/>
    <w:rsid w:val="22B87C16"/>
    <w:rsid w:val="22E416E1"/>
    <w:rsid w:val="22FC6B29"/>
    <w:rsid w:val="22FD56D5"/>
    <w:rsid w:val="232E579E"/>
    <w:rsid w:val="23A50844"/>
    <w:rsid w:val="243F7326"/>
    <w:rsid w:val="24405997"/>
    <w:rsid w:val="24B67060"/>
    <w:rsid w:val="24BD21A8"/>
    <w:rsid w:val="25234B61"/>
    <w:rsid w:val="255D2B9E"/>
    <w:rsid w:val="25E20F82"/>
    <w:rsid w:val="26246562"/>
    <w:rsid w:val="26B324DC"/>
    <w:rsid w:val="26C528ED"/>
    <w:rsid w:val="273253EF"/>
    <w:rsid w:val="27480DCD"/>
    <w:rsid w:val="27836BB9"/>
    <w:rsid w:val="28393305"/>
    <w:rsid w:val="28A022BB"/>
    <w:rsid w:val="28F80CE6"/>
    <w:rsid w:val="296262A9"/>
    <w:rsid w:val="29C54E03"/>
    <w:rsid w:val="2A5C1DDB"/>
    <w:rsid w:val="2A644DCB"/>
    <w:rsid w:val="2AC77996"/>
    <w:rsid w:val="2ACA7759"/>
    <w:rsid w:val="2B024D92"/>
    <w:rsid w:val="2BBB72E9"/>
    <w:rsid w:val="2BE3238B"/>
    <w:rsid w:val="2C5622CC"/>
    <w:rsid w:val="2D194365"/>
    <w:rsid w:val="2D1C6606"/>
    <w:rsid w:val="2EB60BA8"/>
    <w:rsid w:val="2EC30EDD"/>
    <w:rsid w:val="2EC8340B"/>
    <w:rsid w:val="2EF81304"/>
    <w:rsid w:val="2F942EF8"/>
    <w:rsid w:val="2FA67B0F"/>
    <w:rsid w:val="30307803"/>
    <w:rsid w:val="31670D7E"/>
    <w:rsid w:val="31AA669F"/>
    <w:rsid w:val="323240BE"/>
    <w:rsid w:val="3272332E"/>
    <w:rsid w:val="32742071"/>
    <w:rsid w:val="327C363D"/>
    <w:rsid w:val="32B048E2"/>
    <w:rsid w:val="32B96F3D"/>
    <w:rsid w:val="32D206E5"/>
    <w:rsid w:val="3376043B"/>
    <w:rsid w:val="33E15ECE"/>
    <w:rsid w:val="34002F04"/>
    <w:rsid w:val="34853BBB"/>
    <w:rsid w:val="34DE763A"/>
    <w:rsid w:val="34E44082"/>
    <w:rsid w:val="34FF442B"/>
    <w:rsid w:val="353B229C"/>
    <w:rsid w:val="357465DC"/>
    <w:rsid w:val="35777919"/>
    <w:rsid w:val="35A55A77"/>
    <w:rsid w:val="35FA297C"/>
    <w:rsid w:val="361675FB"/>
    <w:rsid w:val="36527AEE"/>
    <w:rsid w:val="366720CE"/>
    <w:rsid w:val="368D4B1E"/>
    <w:rsid w:val="369359A0"/>
    <w:rsid w:val="36BD1879"/>
    <w:rsid w:val="36C10A1B"/>
    <w:rsid w:val="37562360"/>
    <w:rsid w:val="3779184C"/>
    <w:rsid w:val="37A679AA"/>
    <w:rsid w:val="37DE663B"/>
    <w:rsid w:val="37DF05C1"/>
    <w:rsid w:val="37FC7B10"/>
    <w:rsid w:val="380D6B09"/>
    <w:rsid w:val="388277AB"/>
    <w:rsid w:val="38A33119"/>
    <w:rsid w:val="391567C9"/>
    <w:rsid w:val="393A2F44"/>
    <w:rsid w:val="3998250F"/>
    <w:rsid w:val="3A057993"/>
    <w:rsid w:val="3A2D171F"/>
    <w:rsid w:val="3A422C09"/>
    <w:rsid w:val="3A615941"/>
    <w:rsid w:val="3AB25D14"/>
    <w:rsid w:val="3B6423EA"/>
    <w:rsid w:val="3BCC3E0F"/>
    <w:rsid w:val="3BE44D55"/>
    <w:rsid w:val="3BF15235"/>
    <w:rsid w:val="3C0C7B95"/>
    <w:rsid w:val="3C6A3884"/>
    <w:rsid w:val="3CDE70C8"/>
    <w:rsid w:val="3CFC19B9"/>
    <w:rsid w:val="3D316420"/>
    <w:rsid w:val="3D562833"/>
    <w:rsid w:val="3D806D56"/>
    <w:rsid w:val="3D935393"/>
    <w:rsid w:val="3E38087D"/>
    <w:rsid w:val="3E4938EB"/>
    <w:rsid w:val="3E9D5AB1"/>
    <w:rsid w:val="3EAB2AE4"/>
    <w:rsid w:val="3EC32F08"/>
    <w:rsid w:val="3EFB6EE5"/>
    <w:rsid w:val="3F012189"/>
    <w:rsid w:val="3F161B33"/>
    <w:rsid w:val="3F747EBE"/>
    <w:rsid w:val="3FB469B2"/>
    <w:rsid w:val="40310E91"/>
    <w:rsid w:val="404E6F94"/>
    <w:rsid w:val="40F82987"/>
    <w:rsid w:val="4150630D"/>
    <w:rsid w:val="418226BE"/>
    <w:rsid w:val="418B7862"/>
    <w:rsid w:val="41B60745"/>
    <w:rsid w:val="41C53FAA"/>
    <w:rsid w:val="420F08E9"/>
    <w:rsid w:val="42DD44FB"/>
    <w:rsid w:val="42F604A1"/>
    <w:rsid w:val="42FD7D19"/>
    <w:rsid w:val="432D1778"/>
    <w:rsid w:val="435E130F"/>
    <w:rsid w:val="43CA5233"/>
    <w:rsid w:val="43F05C7E"/>
    <w:rsid w:val="44151704"/>
    <w:rsid w:val="443D3AAF"/>
    <w:rsid w:val="448F4209"/>
    <w:rsid w:val="45441ABB"/>
    <w:rsid w:val="45480E4D"/>
    <w:rsid w:val="454B60A5"/>
    <w:rsid w:val="455609DC"/>
    <w:rsid w:val="45FD2CAA"/>
    <w:rsid w:val="465920D8"/>
    <w:rsid w:val="465A4BE9"/>
    <w:rsid w:val="466D6567"/>
    <w:rsid w:val="469C189A"/>
    <w:rsid w:val="46BA7686"/>
    <w:rsid w:val="476E1EDF"/>
    <w:rsid w:val="47867BDD"/>
    <w:rsid w:val="47ED6306"/>
    <w:rsid w:val="48632DD0"/>
    <w:rsid w:val="4890668B"/>
    <w:rsid w:val="48B65FB0"/>
    <w:rsid w:val="48F76241"/>
    <w:rsid w:val="4930116E"/>
    <w:rsid w:val="49744BD6"/>
    <w:rsid w:val="49BF0D98"/>
    <w:rsid w:val="49F012F2"/>
    <w:rsid w:val="4A0638D9"/>
    <w:rsid w:val="4A0D1005"/>
    <w:rsid w:val="4A167521"/>
    <w:rsid w:val="4A6A1E8F"/>
    <w:rsid w:val="4A8425BC"/>
    <w:rsid w:val="4A8A342E"/>
    <w:rsid w:val="4B1D3D0C"/>
    <w:rsid w:val="4B631251"/>
    <w:rsid w:val="4B864EBB"/>
    <w:rsid w:val="4B870656"/>
    <w:rsid w:val="4B9C4553"/>
    <w:rsid w:val="4BE60ADE"/>
    <w:rsid w:val="4C3F15FD"/>
    <w:rsid w:val="4C4A66DB"/>
    <w:rsid w:val="4CC4632D"/>
    <w:rsid w:val="4D6532F2"/>
    <w:rsid w:val="4D676BBE"/>
    <w:rsid w:val="4D7B0477"/>
    <w:rsid w:val="4DDF7D36"/>
    <w:rsid w:val="4DF2167A"/>
    <w:rsid w:val="4DF324F5"/>
    <w:rsid w:val="4E0421AA"/>
    <w:rsid w:val="4E3B34FD"/>
    <w:rsid w:val="4E466369"/>
    <w:rsid w:val="4E9345E7"/>
    <w:rsid w:val="4EE3420C"/>
    <w:rsid w:val="4F743AD7"/>
    <w:rsid w:val="4F906541"/>
    <w:rsid w:val="4FF068FA"/>
    <w:rsid w:val="501E1681"/>
    <w:rsid w:val="50624832"/>
    <w:rsid w:val="507510F8"/>
    <w:rsid w:val="5080358E"/>
    <w:rsid w:val="50B1687C"/>
    <w:rsid w:val="50D91050"/>
    <w:rsid w:val="50F934A0"/>
    <w:rsid w:val="517458A8"/>
    <w:rsid w:val="51823E0D"/>
    <w:rsid w:val="51891256"/>
    <w:rsid w:val="51892102"/>
    <w:rsid w:val="51CD56AC"/>
    <w:rsid w:val="51DC2B57"/>
    <w:rsid w:val="52B96481"/>
    <w:rsid w:val="52C850B9"/>
    <w:rsid w:val="52E641F6"/>
    <w:rsid w:val="52EB514F"/>
    <w:rsid w:val="530D1306"/>
    <w:rsid w:val="53201C86"/>
    <w:rsid w:val="537F20EE"/>
    <w:rsid w:val="54364A4A"/>
    <w:rsid w:val="54616F4B"/>
    <w:rsid w:val="547E1FF8"/>
    <w:rsid w:val="54AA1118"/>
    <w:rsid w:val="54D32226"/>
    <w:rsid w:val="553C7C10"/>
    <w:rsid w:val="55C0458D"/>
    <w:rsid w:val="5624125F"/>
    <w:rsid w:val="56395B7E"/>
    <w:rsid w:val="56C76971"/>
    <w:rsid w:val="57077D4C"/>
    <w:rsid w:val="572D6C37"/>
    <w:rsid w:val="5799269C"/>
    <w:rsid w:val="57C739B1"/>
    <w:rsid w:val="57EC1540"/>
    <w:rsid w:val="57F5352D"/>
    <w:rsid w:val="580F226A"/>
    <w:rsid w:val="584E061F"/>
    <w:rsid w:val="585855A7"/>
    <w:rsid w:val="587D00AA"/>
    <w:rsid w:val="58BA68B9"/>
    <w:rsid w:val="58BD791A"/>
    <w:rsid w:val="58C04D0A"/>
    <w:rsid w:val="58D57B9F"/>
    <w:rsid w:val="58F7058B"/>
    <w:rsid w:val="5A9731DE"/>
    <w:rsid w:val="5AF024A4"/>
    <w:rsid w:val="5B4D7650"/>
    <w:rsid w:val="5B5660D6"/>
    <w:rsid w:val="5B6C03FB"/>
    <w:rsid w:val="5B8D5685"/>
    <w:rsid w:val="5B8E2397"/>
    <w:rsid w:val="5C033947"/>
    <w:rsid w:val="5C41046E"/>
    <w:rsid w:val="5CA80001"/>
    <w:rsid w:val="5D2D59F4"/>
    <w:rsid w:val="5E2525B9"/>
    <w:rsid w:val="5F546B5D"/>
    <w:rsid w:val="60F815CA"/>
    <w:rsid w:val="6194040E"/>
    <w:rsid w:val="61B51792"/>
    <w:rsid w:val="624B3710"/>
    <w:rsid w:val="62B84E62"/>
    <w:rsid w:val="62DA457C"/>
    <w:rsid w:val="62FB4622"/>
    <w:rsid w:val="63546F39"/>
    <w:rsid w:val="637821B8"/>
    <w:rsid w:val="63A1512B"/>
    <w:rsid w:val="63B123FF"/>
    <w:rsid w:val="63DD630A"/>
    <w:rsid w:val="63E20D9F"/>
    <w:rsid w:val="64161622"/>
    <w:rsid w:val="644A4A48"/>
    <w:rsid w:val="64590B85"/>
    <w:rsid w:val="647F7868"/>
    <w:rsid w:val="64B578CB"/>
    <w:rsid w:val="64C179D9"/>
    <w:rsid w:val="64DE2681"/>
    <w:rsid w:val="652F73D1"/>
    <w:rsid w:val="65AB53F2"/>
    <w:rsid w:val="65B31A18"/>
    <w:rsid w:val="65F22EA0"/>
    <w:rsid w:val="661C3D99"/>
    <w:rsid w:val="66B16D09"/>
    <w:rsid w:val="67015072"/>
    <w:rsid w:val="67354BAE"/>
    <w:rsid w:val="67451872"/>
    <w:rsid w:val="67555E6E"/>
    <w:rsid w:val="67FA2BAF"/>
    <w:rsid w:val="681A3178"/>
    <w:rsid w:val="687C6ACB"/>
    <w:rsid w:val="68D3156D"/>
    <w:rsid w:val="69403D80"/>
    <w:rsid w:val="6950273B"/>
    <w:rsid w:val="69600571"/>
    <w:rsid w:val="696E61B4"/>
    <w:rsid w:val="697565B5"/>
    <w:rsid w:val="697829E5"/>
    <w:rsid w:val="69B77069"/>
    <w:rsid w:val="69D46A6A"/>
    <w:rsid w:val="6A163900"/>
    <w:rsid w:val="6AA84736"/>
    <w:rsid w:val="6AEF038C"/>
    <w:rsid w:val="6B1A6EAA"/>
    <w:rsid w:val="6C7F6DD7"/>
    <w:rsid w:val="6D0246E0"/>
    <w:rsid w:val="6D2E0723"/>
    <w:rsid w:val="6D7257D6"/>
    <w:rsid w:val="6E3114C2"/>
    <w:rsid w:val="6E681564"/>
    <w:rsid w:val="6E843B3A"/>
    <w:rsid w:val="6E8C1329"/>
    <w:rsid w:val="6EED154A"/>
    <w:rsid w:val="6F03644C"/>
    <w:rsid w:val="6F04081D"/>
    <w:rsid w:val="6F141779"/>
    <w:rsid w:val="6F824A6A"/>
    <w:rsid w:val="70254029"/>
    <w:rsid w:val="705C6E8B"/>
    <w:rsid w:val="70AD2FFD"/>
    <w:rsid w:val="70AE4174"/>
    <w:rsid w:val="70F14589"/>
    <w:rsid w:val="718922E1"/>
    <w:rsid w:val="71933623"/>
    <w:rsid w:val="71973FB7"/>
    <w:rsid w:val="71C2563B"/>
    <w:rsid w:val="71DF2C79"/>
    <w:rsid w:val="71ED29B8"/>
    <w:rsid w:val="721F2BC5"/>
    <w:rsid w:val="72320E26"/>
    <w:rsid w:val="72401099"/>
    <w:rsid w:val="724046EE"/>
    <w:rsid w:val="724404FC"/>
    <w:rsid w:val="72645679"/>
    <w:rsid w:val="72932309"/>
    <w:rsid w:val="73630211"/>
    <w:rsid w:val="73825C64"/>
    <w:rsid w:val="73934755"/>
    <w:rsid w:val="739E10B9"/>
    <w:rsid w:val="73C16BB1"/>
    <w:rsid w:val="73C45C49"/>
    <w:rsid w:val="73D238B9"/>
    <w:rsid w:val="73D63BC4"/>
    <w:rsid w:val="74EC233F"/>
    <w:rsid w:val="750736E1"/>
    <w:rsid w:val="75082C94"/>
    <w:rsid w:val="75541D30"/>
    <w:rsid w:val="757A4C5E"/>
    <w:rsid w:val="758807CB"/>
    <w:rsid w:val="759F57C5"/>
    <w:rsid w:val="75A94C79"/>
    <w:rsid w:val="75FF3CC9"/>
    <w:rsid w:val="762E03AC"/>
    <w:rsid w:val="76362CA9"/>
    <w:rsid w:val="76523F8F"/>
    <w:rsid w:val="767C5220"/>
    <w:rsid w:val="76E7410C"/>
    <w:rsid w:val="7747081E"/>
    <w:rsid w:val="77F21366"/>
    <w:rsid w:val="78A5375B"/>
    <w:rsid w:val="78D03ED3"/>
    <w:rsid w:val="78FC0547"/>
    <w:rsid w:val="79256331"/>
    <w:rsid w:val="79427A90"/>
    <w:rsid w:val="796D55B9"/>
    <w:rsid w:val="79D93E95"/>
    <w:rsid w:val="7AA63222"/>
    <w:rsid w:val="7ABF7E1D"/>
    <w:rsid w:val="7AD0196F"/>
    <w:rsid w:val="7B2044AA"/>
    <w:rsid w:val="7BAB1E79"/>
    <w:rsid w:val="7BB946A6"/>
    <w:rsid w:val="7C192C70"/>
    <w:rsid w:val="7C245BCF"/>
    <w:rsid w:val="7C7422A3"/>
    <w:rsid w:val="7CE0642C"/>
    <w:rsid w:val="7CE066FC"/>
    <w:rsid w:val="7D7A0CB0"/>
    <w:rsid w:val="7D846ABB"/>
    <w:rsid w:val="7E211B2A"/>
    <w:rsid w:val="7E7E4D39"/>
    <w:rsid w:val="7EC00FD6"/>
    <w:rsid w:val="7EED4BDD"/>
    <w:rsid w:val="7FA7785D"/>
    <w:rsid w:val="7FB4079F"/>
    <w:rsid w:val="7FEB0F93"/>
    <w:rsid w:val="7FF35A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3">
    <w:name w:val="heading 2"/>
    <w:basedOn w:val="1"/>
    <w:next w:val="1"/>
    <w:autoRedefine/>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4">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6">
    <w:name w:val="heading 5"/>
    <w:basedOn w:val="1"/>
    <w:next w:val="1"/>
    <w:autoRedefine/>
    <w:qFormat/>
    <w:uiPriority w:val="1"/>
    <w:pPr>
      <w:ind w:left="1548"/>
      <w:outlineLvl w:val="4"/>
    </w:pPr>
    <w:rPr>
      <w:sz w:val="31"/>
      <w:szCs w:val="24"/>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7">
    <w:name w:val="Normal Indent"/>
    <w:basedOn w:val="1"/>
    <w:autoRedefine/>
    <w:qFormat/>
    <w:uiPriority w:val="99"/>
    <w:pPr>
      <w:ind w:firstLine="560" w:firstLineChars="200"/>
    </w:pPr>
  </w:style>
  <w:style w:type="paragraph" w:styleId="8">
    <w:name w:val="Body Text"/>
    <w:basedOn w:val="1"/>
    <w:next w:val="1"/>
    <w:autoRedefine/>
    <w:unhideWhenUsed/>
    <w:qFormat/>
    <w:uiPriority w:val="99"/>
    <w:pPr>
      <w:spacing w:after="120"/>
    </w:pPr>
  </w:style>
  <w:style w:type="paragraph" w:styleId="9">
    <w:name w:val="Body Text Indent"/>
    <w:basedOn w:val="1"/>
    <w:next w:val="10"/>
    <w:qFormat/>
    <w:uiPriority w:val="0"/>
    <w:pPr>
      <w:ind w:firstLine="540"/>
    </w:pPr>
    <w:rPr>
      <w:rFonts w:eastAsia="仿宋_GB2312"/>
      <w:sz w:val="28"/>
    </w:rPr>
  </w:style>
  <w:style w:type="paragraph" w:styleId="10">
    <w:name w:val="envelope return"/>
    <w:basedOn w:val="1"/>
    <w:autoRedefine/>
    <w:qFormat/>
    <w:uiPriority w:val="0"/>
    <w:pPr>
      <w:snapToGrid w:val="0"/>
    </w:pPr>
    <w:rPr>
      <w:rFonts w:ascii="Arial" w:hAnsi="Arial"/>
    </w:rPr>
  </w:style>
  <w:style w:type="paragraph" w:styleId="11">
    <w:name w:val="Body Text Indent 2"/>
    <w:basedOn w:val="1"/>
    <w:autoRedefine/>
    <w:unhideWhenUsed/>
    <w:qFormat/>
    <w:uiPriority w:val="99"/>
    <w:pPr>
      <w:spacing w:after="120" w:afterLines="0" w:line="480" w:lineRule="auto"/>
      <w:ind w:left="200" w:leftChars="200"/>
    </w:pPr>
  </w:style>
  <w:style w:type="paragraph" w:styleId="12">
    <w:name w:val="footer"/>
    <w:basedOn w:val="1"/>
    <w:autoRedefine/>
    <w:qFormat/>
    <w:uiPriority w:val="0"/>
    <w:pPr>
      <w:tabs>
        <w:tab w:val="center" w:pos="4153"/>
        <w:tab w:val="right" w:pos="8306"/>
      </w:tabs>
      <w:snapToGrid w:val="0"/>
      <w:jc w:val="left"/>
    </w:pPr>
    <w:rPr>
      <w:rFonts w:hint="eastAsia"/>
      <w:sz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rFonts w:hint="eastAsia"/>
      <w:sz w:val="18"/>
    </w:rPr>
  </w:style>
  <w:style w:type="paragraph" w:styleId="14">
    <w:name w:val="Normal (Web)"/>
    <w:basedOn w:val="1"/>
    <w:next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9"/>
    <w:autoRedefine/>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style>
  <w:style w:type="character" w:styleId="20">
    <w:name w:val="page number"/>
    <w:autoRedefine/>
    <w:unhideWhenUsed/>
    <w:qFormat/>
    <w:uiPriority w:val="99"/>
  </w:style>
  <w:style w:type="character" w:styleId="21">
    <w:name w:val="FollowedHyperlink"/>
    <w:basedOn w:val="18"/>
    <w:qFormat/>
    <w:uiPriority w:val="0"/>
    <w:rPr>
      <w:color w:val="800080"/>
      <w:u w:val="none"/>
    </w:rPr>
  </w:style>
  <w:style w:type="character" w:styleId="22">
    <w:name w:val="Emphasis"/>
    <w:basedOn w:val="18"/>
    <w:autoRedefine/>
    <w:qFormat/>
    <w:uiPriority w:val="0"/>
  </w:style>
  <w:style w:type="character" w:styleId="23">
    <w:name w:val="HTML Definition"/>
    <w:basedOn w:val="18"/>
    <w:autoRedefine/>
    <w:qFormat/>
    <w:uiPriority w:val="0"/>
  </w:style>
  <w:style w:type="character" w:styleId="24">
    <w:name w:val="HTML Typewriter"/>
    <w:basedOn w:val="18"/>
    <w:autoRedefine/>
    <w:qFormat/>
    <w:uiPriority w:val="0"/>
    <w:rPr>
      <w:rFonts w:hint="default" w:ascii="monospace" w:hAnsi="monospace" w:eastAsia="monospace" w:cs="monospace"/>
      <w:sz w:val="20"/>
    </w:rPr>
  </w:style>
  <w:style w:type="character" w:styleId="25">
    <w:name w:val="HTML Acronym"/>
    <w:basedOn w:val="18"/>
    <w:autoRedefine/>
    <w:qFormat/>
    <w:uiPriority w:val="0"/>
  </w:style>
  <w:style w:type="character" w:styleId="26">
    <w:name w:val="HTML Variable"/>
    <w:basedOn w:val="18"/>
    <w:autoRedefine/>
    <w:qFormat/>
    <w:uiPriority w:val="0"/>
  </w:style>
  <w:style w:type="character" w:styleId="27">
    <w:name w:val="Hyperlink"/>
    <w:basedOn w:val="18"/>
    <w:autoRedefine/>
    <w:qFormat/>
    <w:uiPriority w:val="0"/>
    <w:rPr>
      <w:color w:val="0000FF"/>
      <w:u w:val="none"/>
    </w:rPr>
  </w:style>
  <w:style w:type="character" w:styleId="28">
    <w:name w:val="HTML Code"/>
    <w:basedOn w:val="18"/>
    <w:autoRedefine/>
    <w:qFormat/>
    <w:uiPriority w:val="0"/>
    <w:rPr>
      <w:rFonts w:hint="default" w:ascii="monospace" w:hAnsi="monospace" w:eastAsia="monospace" w:cs="monospace"/>
      <w:sz w:val="20"/>
    </w:rPr>
  </w:style>
  <w:style w:type="character" w:styleId="29">
    <w:name w:val="HTML Cite"/>
    <w:basedOn w:val="18"/>
    <w:autoRedefine/>
    <w:qFormat/>
    <w:uiPriority w:val="0"/>
  </w:style>
  <w:style w:type="character" w:styleId="30">
    <w:name w:val="HTML Keyboard"/>
    <w:basedOn w:val="18"/>
    <w:autoRedefine/>
    <w:qFormat/>
    <w:uiPriority w:val="0"/>
    <w:rPr>
      <w:rFonts w:hint="default" w:ascii="monospace" w:hAnsi="monospace" w:eastAsia="monospace" w:cs="monospace"/>
      <w:sz w:val="20"/>
    </w:rPr>
  </w:style>
  <w:style w:type="character" w:styleId="31">
    <w:name w:val="HTML Sample"/>
    <w:basedOn w:val="18"/>
    <w:autoRedefine/>
    <w:qFormat/>
    <w:uiPriority w:val="0"/>
    <w:rPr>
      <w:rFonts w:ascii="monospace" w:hAnsi="monospace" w:eastAsia="monospace" w:cs="monospace"/>
    </w:rPr>
  </w:style>
  <w:style w:type="character" w:customStyle="1" w:styleId="32">
    <w:name w:val="font121"/>
    <w:basedOn w:val="18"/>
    <w:autoRedefine/>
    <w:qFormat/>
    <w:uiPriority w:val="0"/>
    <w:rPr>
      <w:rFonts w:hint="eastAsia" w:ascii="宋体" w:hAnsi="宋体" w:eastAsia="宋体" w:cs="宋体"/>
      <w:color w:val="000000"/>
      <w:sz w:val="21"/>
      <w:szCs w:val="21"/>
      <w:u w:val="none"/>
    </w:rPr>
  </w:style>
  <w:style w:type="character" w:customStyle="1" w:styleId="33">
    <w:name w:val="font41"/>
    <w:basedOn w:val="18"/>
    <w:autoRedefine/>
    <w:qFormat/>
    <w:uiPriority w:val="0"/>
    <w:rPr>
      <w:rFonts w:hint="eastAsia" w:ascii="宋体" w:hAnsi="宋体" w:eastAsia="宋体" w:cs="宋体"/>
      <w:color w:val="000000"/>
      <w:sz w:val="28"/>
      <w:szCs w:val="28"/>
      <w:u w:val="none"/>
    </w:rPr>
  </w:style>
  <w:style w:type="character" w:customStyle="1" w:styleId="34">
    <w:name w:val="font112"/>
    <w:basedOn w:val="18"/>
    <w:autoRedefine/>
    <w:qFormat/>
    <w:uiPriority w:val="0"/>
    <w:rPr>
      <w:rFonts w:hint="eastAsia" w:ascii="宋体" w:hAnsi="宋体" w:eastAsia="宋体" w:cs="宋体"/>
      <w:color w:val="000000"/>
      <w:sz w:val="24"/>
      <w:szCs w:val="24"/>
      <w:u w:val="none"/>
    </w:rPr>
  </w:style>
  <w:style w:type="character" w:customStyle="1" w:styleId="35">
    <w:name w:val="font131"/>
    <w:basedOn w:val="18"/>
    <w:autoRedefine/>
    <w:qFormat/>
    <w:uiPriority w:val="0"/>
    <w:rPr>
      <w:rFonts w:hint="eastAsia" w:ascii="宋体" w:hAnsi="宋体" w:eastAsia="宋体" w:cs="宋体"/>
      <w:color w:val="3D1C10"/>
      <w:sz w:val="24"/>
      <w:szCs w:val="24"/>
      <w:u w:val="none"/>
    </w:rPr>
  </w:style>
  <w:style w:type="character" w:customStyle="1" w:styleId="36">
    <w:name w:val="font91"/>
    <w:basedOn w:val="18"/>
    <w:autoRedefine/>
    <w:qFormat/>
    <w:uiPriority w:val="0"/>
    <w:rPr>
      <w:rFonts w:hint="default" w:ascii="Tahoma" w:hAnsi="Tahoma" w:eastAsia="Tahoma" w:cs="Tahoma"/>
      <w:color w:val="000000"/>
      <w:sz w:val="24"/>
      <w:szCs w:val="24"/>
      <w:u w:val="none"/>
    </w:rPr>
  </w:style>
  <w:style w:type="character" w:customStyle="1" w:styleId="37">
    <w:name w:val="font171"/>
    <w:basedOn w:val="18"/>
    <w:autoRedefine/>
    <w:qFormat/>
    <w:uiPriority w:val="0"/>
    <w:rPr>
      <w:rFonts w:hint="default" w:ascii="Arial" w:hAnsi="Arial" w:cs="Arial"/>
      <w:color w:val="3D1C10"/>
      <w:sz w:val="24"/>
      <w:szCs w:val="24"/>
      <w:u w:val="none"/>
    </w:rPr>
  </w:style>
  <w:style w:type="character" w:customStyle="1" w:styleId="38">
    <w:name w:val="font122"/>
    <w:basedOn w:val="18"/>
    <w:autoRedefine/>
    <w:qFormat/>
    <w:uiPriority w:val="0"/>
    <w:rPr>
      <w:rFonts w:hint="eastAsia" w:ascii="宋体" w:hAnsi="宋体" w:eastAsia="宋体" w:cs="宋体"/>
      <w:color w:val="000000"/>
      <w:sz w:val="28"/>
      <w:szCs w:val="28"/>
      <w:u w:val="none"/>
    </w:rPr>
  </w:style>
  <w:style w:type="character" w:customStyle="1" w:styleId="39">
    <w:name w:val="font71"/>
    <w:basedOn w:val="18"/>
    <w:autoRedefine/>
    <w:qFormat/>
    <w:uiPriority w:val="0"/>
    <w:rPr>
      <w:rFonts w:hint="default" w:ascii="Calibri" w:hAnsi="Calibri" w:cs="Calibri"/>
      <w:color w:val="000000"/>
      <w:sz w:val="21"/>
      <w:szCs w:val="21"/>
      <w:u w:val="none"/>
    </w:rPr>
  </w:style>
  <w:style w:type="character" w:customStyle="1" w:styleId="40">
    <w:name w:val="font01"/>
    <w:basedOn w:val="18"/>
    <w:autoRedefine/>
    <w:qFormat/>
    <w:uiPriority w:val="0"/>
    <w:rPr>
      <w:rFonts w:hint="eastAsia" w:ascii="宋体" w:hAnsi="宋体" w:eastAsia="宋体" w:cs="宋体"/>
      <w:color w:val="000000"/>
      <w:sz w:val="21"/>
      <w:szCs w:val="21"/>
      <w:u w:val="none"/>
    </w:rPr>
  </w:style>
  <w:style w:type="character" w:customStyle="1" w:styleId="41">
    <w:name w:val="font31"/>
    <w:basedOn w:val="18"/>
    <w:autoRedefine/>
    <w:qFormat/>
    <w:uiPriority w:val="0"/>
    <w:rPr>
      <w:rFonts w:hint="default" w:ascii="Tahoma" w:hAnsi="Tahoma" w:eastAsia="Tahoma" w:cs="Tahoma"/>
      <w:color w:val="000000"/>
      <w:sz w:val="36"/>
      <w:szCs w:val="36"/>
      <w:u w:val="none"/>
    </w:rPr>
  </w:style>
  <w:style w:type="character" w:customStyle="1" w:styleId="42">
    <w:name w:val="font21"/>
    <w:basedOn w:val="18"/>
    <w:autoRedefine/>
    <w:qFormat/>
    <w:uiPriority w:val="0"/>
    <w:rPr>
      <w:rFonts w:hint="eastAsia" w:ascii="微软雅黑" w:hAnsi="微软雅黑" w:eastAsia="微软雅黑" w:cs="微软雅黑"/>
      <w:color w:val="000000"/>
      <w:sz w:val="18"/>
      <w:szCs w:val="18"/>
      <w:u w:val="none"/>
    </w:rPr>
  </w:style>
  <w:style w:type="character" w:customStyle="1" w:styleId="43">
    <w:name w:val="font61"/>
    <w:basedOn w:val="18"/>
    <w:autoRedefine/>
    <w:qFormat/>
    <w:uiPriority w:val="0"/>
    <w:rPr>
      <w:rFonts w:hint="eastAsia" w:ascii="宋体" w:hAnsi="宋体" w:eastAsia="宋体" w:cs="宋体"/>
      <w:color w:val="000000"/>
      <w:sz w:val="28"/>
      <w:szCs w:val="28"/>
      <w:u w:val="none"/>
    </w:rPr>
  </w:style>
  <w:style w:type="character" w:customStyle="1" w:styleId="44">
    <w:name w:val="font101"/>
    <w:basedOn w:val="18"/>
    <w:autoRedefine/>
    <w:qFormat/>
    <w:uiPriority w:val="0"/>
    <w:rPr>
      <w:rFonts w:hint="eastAsia" w:ascii="黑体" w:hAnsi="黑体" w:eastAsia="黑体" w:cs="黑体"/>
      <w:color w:val="000000"/>
      <w:sz w:val="28"/>
      <w:szCs w:val="28"/>
      <w:u w:val="none"/>
    </w:rPr>
  </w:style>
  <w:style w:type="character" w:customStyle="1" w:styleId="45">
    <w:name w:val="font11"/>
    <w:basedOn w:val="18"/>
    <w:autoRedefine/>
    <w:qFormat/>
    <w:uiPriority w:val="0"/>
    <w:rPr>
      <w:rFonts w:hint="default" w:ascii="Times New Roman" w:hAnsi="Times New Roman" w:cs="Times New Roman"/>
      <w:color w:val="000000"/>
      <w:sz w:val="28"/>
      <w:szCs w:val="28"/>
      <w:u w:val="none"/>
    </w:rPr>
  </w:style>
  <w:style w:type="character" w:customStyle="1" w:styleId="46">
    <w:name w:val="font151"/>
    <w:basedOn w:val="18"/>
    <w:autoRedefine/>
    <w:qFormat/>
    <w:uiPriority w:val="0"/>
    <w:rPr>
      <w:rFonts w:ascii="Arial" w:hAnsi="Arial" w:cs="Arial"/>
      <w:color w:val="3D1C10"/>
      <w:sz w:val="28"/>
      <w:szCs w:val="28"/>
      <w:u w:val="none"/>
    </w:rPr>
  </w:style>
  <w:style w:type="character" w:customStyle="1" w:styleId="47">
    <w:name w:val="font51"/>
    <w:basedOn w:val="18"/>
    <w:autoRedefine/>
    <w:qFormat/>
    <w:uiPriority w:val="0"/>
    <w:rPr>
      <w:rFonts w:hint="eastAsia" w:ascii="宋体" w:hAnsi="宋体" w:eastAsia="宋体" w:cs="宋体"/>
      <w:color w:val="000000"/>
      <w:sz w:val="36"/>
      <w:szCs w:val="36"/>
      <w:u w:val="none"/>
    </w:rPr>
  </w:style>
  <w:style w:type="paragraph" w:customStyle="1" w:styleId="48">
    <w:name w:val="p15"/>
    <w:basedOn w:val="1"/>
    <w:autoRedefine/>
    <w:qFormat/>
    <w:uiPriority w:val="0"/>
    <w:pPr>
      <w:widowControl/>
    </w:pPr>
    <w:rPr>
      <w:kern w:val="0"/>
      <w:szCs w:val="21"/>
    </w:rPr>
  </w:style>
  <w:style w:type="paragraph" w:styleId="49">
    <w:name w:val="List Paragraph"/>
    <w:basedOn w:val="1"/>
    <w:autoRedefine/>
    <w:qFormat/>
    <w:uiPriority w:val="99"/>
    <w:pPr>
      <w:ind w:firstLine="420"/>
    </w:pPr>
  </w:style>
  <w:style w:type="paragraph" w:customStyle="1" w:styleId="50">
    <w:name w:val="正文（首行缩进）"/>
    <w:basedOn w:val="1"/>
    <w:autoRedefine/>
    <w:qFormat/>
    <w:uiPriority w:val="0"/>
    <w:pPr>
      <w:spacing w:before="156" w:after="156"/>
      <w:ind w:firstLine="480" w:firstLineChars="200"/>
    </w:pPr>
    <w:rPr>
      <w:rFonts w:eastAsia="宋体"/>
    </w:rPr>
  </w:style>
  <w:style w:type="paragraph" w:customStyle="1" w:styleId="51">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2">
    <w:name w:val="!标题6 Ctrl+6"/>
    <w:basedOn w:val="1"/>
    <w:next w:val="1"/>
    <w:autoRedefine/>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53">
    <w:name w:val="first-child"/>
    <w:basedOn w:val="18"/>
    <w:autoRedefine/>
    <w:qFormat/>
    <w:uiPriority w:val="0"/>
  </w:style>
  <w:style w:type="character" w:customStyle="1" w:styleId="54">
    <w:name w:val="layui-layer-tabnow"/>
    <w:basedOn w:val="18"/>
    <w:autoRedefine/>
    <w:qFormat/>
    <w:uiPriority w:val="0"/>
    <w:rPr>
      <w:bdr w:val="single" w:color="CCCCCC" w:sz="6" w:space="0"/>
      <w:shd w:val="clear" w:color="auto" w:fill="FFFFFF"/>
    </w:rPr>
  </w:style>
  <w:style w:type="paragraph" w:customStyle="1" w:styleId="55">
    <w:name w:val="Table Paragraph"/>
    <w:basedOn w:val="1"/>
    <w:autoRedefine/>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7740</Words>
  <Characters>8062</Characters>
  <Lines>71</Lines>
  <Paragraphs>20</Paragraphs>
  <TotalTime>4</TotalTime>
  <ScaleCrop>false</ScaleCrop>
  <LinksUpToDate>false</LinksUpToDate>
  <CharactersWithSpaces>9602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2021-07-10T01:43:00Z</cp:lastPrinted>
  <dcterms:modified xsi:type="dcterms:W3CDTF">2024-03-11T02:13:13Z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00D53F89D46F4B0B8096A5477B1CF259_13</vt:lpwstr>
  </property>
</Properties>
</file>